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AF4" w:rsidRPr="00DE4AF4" w:rsidRDefault="00DE4AF4" w:rsidP="00DE4AF4">
      <w:pPr>
        <w:jc w:val="center"/>
        <w:rPr>
          <w:b/>
          <w:sz w:val="24"/>
          <w:szCs w:val="24"/>
        </w:rPr>
      </w:pPr>
      <w:r w:rsidRPr="00DE4AF4">
        <w:rPr>
          <w:rFonts w:ascii="宋体" w:eastAsia="宋体" w:hAnsi="宋体" w:cs="宋体"/>
          <w:b/>
          <w:color w:val="000000"/>
          <w:kern w:val="0"/>
          <w:sz w:val="24"/>
          <w:szCs w:val="24"/>
        </w:rPr>
        <w:t>关于开展北京市哲学社会科学优秀成果和校级优秀成果评奖工作的通知</w:t>
      </w:r>
    </w:p>
    <w:p w:rsidR="00DE4AF4" w:rsidRDefault="00DE4AF4"/>
    <w:p w:rsidR="00DE4AF4" w:rsidRPr="00DE4AF4" w:rsidRDefault="00D970A3" w:rsidP="00DE4AF4">
      <w:pPr>
        <w:widowControl/>
        <w:spacing w:line="360" w:lineRule="auto"/>
        <w:jc w:val="left"/>
        <w:rPr>
          <w:rFonts w:ascii="宋体" w:eastAsia="宋体" w:hAnsi="宋体" w:cs="宋体"/>
          <w:kern w:val="0"/>
          <w:sz w:val="24"/>
          <w:szCs w:val="24"/>
        </w:rPr>
      </w:pPr>
      <w:r>
        <w:rPr>
          <w:rFonts w:ascii="宋体" w:eastAsia="宋体" w:hAnsi="宋体" w:cs="宋体" w:hint="eastAsia"/>
          <w:kern w:val="0"/>
          <w:sz w:val="28"/>
          <w:szCs w:val="28"/>
        </w:rPr>
        <w:t>各位老师</w:t>
      </w:r>
      <w:r w:rsidR="00DE4AF4" w:rsidRPr="00DE4AF4">
        <w:rPr>
          <w:rFonts w:ascii="宋体" w:eastAsia="宋体" w:hAnsi="宋体" w:cs="宋体" w:hint="eastAsia"/>
          <w:kern w:val="0"/>
          <w:sz w:val="28"/>
          <w:szCs w:val="28"/>
        </w:rPr>
        <w:t>：</w:t>
      </w:r>
    </w:p>
    <w:p w:rsidR="00DE4AF4" w:rsidRPr="00DE4AF4" w:rsidRDefault="00DE4AF4" w:rsidP="00D970A3">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今年是北京市第十</w:t>
      </w:r>
      <w:r>
        <w:rPr>
          <w:rFonts w:ascii="宋体" w:eastAsia="宋体" w:hAnsi="宋体" w:cs="宋体" w:hint="eastAsia"/>
          <w:kern w:val="0"/>
          <w:sz w:val="28"/>
          <w:szCs w:val="28"/>
        </w:rPr>
        <w:t>四</w:t>
      </w:r>
      <w:r w:rsidRPr="00DE4AF4">
        <w:rPr>
          <w:rFonts w:ascii="宋体" w:eastAsia="宋体" w:hAnsi="宋体" w:cs="宋体" w:hint="eastAsia"/>
          <w:kern w:val="0"/>
          <w:sz w:val="28"/>
          <w:szCs w:val="28"/>
        </w:rPr>
        <w:t>届哲学社会科学优秀成果评奖年，为配合这项工作，按照首都经济贸易大学优秀科研成果评奖办法的规定，首先进行首都经济贸易大学优秀科研成果评奖工作，对评选出的校级优秀成果，推荐参加201</w:t>
      </w:r>
      <w:r>
        <w:rPr>
          <w:rFonts w:ascii="宋体" w:eastAsia="宋体" w:hAnsi="宋体" w:cs="宋体" w:hint="eastAsia"/>
          <w:kern w:val="0"/>
          <w:sz w:val="28"/>
          <w:szCs w:val="28"/>
        </w:rPr>
        <w:t>6年北京市第十四</w:t>
      </w:r>
      <w:r w:rsidRPr="00DE4AF4">
        <w:rPr>
          <w:rFonts w:ascii="宋体" w:eastAsia="宋体" w:hAnsi="宋体" w:cs="宋体" w:hint="eastAsia"/>
          <w:kern w:val="0"/>
          <w:sz w:val="28"/>
          <w:szCs w:val="28"/>
        </w:rPr>
        <w:t>届哲学社会科学优秀成果评奖。</w:t>
      </w:r>
    </w:p>
    <w:p w:rsidR="00DE4AF4" w:rsidRPr="00DE4AF4" w:rsidRDefault="00DE4AF4" w:rsidP="00DE4AF4">
      <w:pPr>
        <w:widowControl/>
        <w:spacing w:line="360" w:lineRule="auto"/>
        <w:ind w:firstLine="480"/>
        <w:jc w:val="left"/>
        <w:rPr>
          <w:rFonts w:ascii="宋体" w:eastAsia="宋体" w:hAnsi="宋体" w:cs="宋体"/>
          <w:kern w:val="0"/>
          <w:sz w:val="24"/>
          <w:szCs w:val="24"/>
        </w:rPr>
      </w:pPr>
      <w:r w:rsidRPr="00DE4AF4">
        <w:rPr>
          <w:rFonts w:ascii="宋体" w:eastAsia="宋体" w:hAnsi="宋体" w:cs="宋体" w:hint="eastAsia"/>
          <w:kern w:val="0"/>
          <w:sz w:val="28"/>
          <w:szCs w:val="28"/>
        </w:rPr>
        <w:t>一、参评成果范围</w:t>
      </w:r>
    </w:p>
    <w:p w:rsidR="00DE4AF4" w:rsidRPr="00DE4AF4" w:rsidRDefault="00DE4AF4" w:rsidP="00DE4AF4">
      <w:pPr>
        <w:widowControl/>
        <w:spacing w:line="360" w:lineRule="auto"/>
        <w:ind w:firstLine="480"/>
        <w:jc w:val="left"/>
        <w:rPr>
          <w:rFonts w:ascii="宋体" w:eastAsia="宋体" w:hAnsi="宋体" w:cs="宋体"/>
          <w:kern w:val="0"/>
          <w:sz w:val="24"/>
          <w:szCs w:val="24"/>
        </w:rPr>
      </w:pPr>
      <w:r w:rsidRPr="00DE4AF4">
        <w:rPr>
          <w:rFonts w:ascii="宋体" w:eastAsia="宋体" w:hAnsi="宋体" w:cs="宋体" w:hint="eastAsia"/>
          <w:kern w:val="0"/>
          <w:sz w:val="28"/>
          <w:szCs w:val="28"/>
        </w:rPr>
        <w:t>1、201</w:t>
      </w:r>
      <w:r w:rsidR="00CB4F0F">
        <w:rPr>
          <w:rFonts w:ascii="宋体" w:eastAsia="宋体" w:hAnsi="宋体" w:cs="宋体" w:hint="eastAsia"/>
          <w:kern w:val="0"/>
          <w:sz w:val="28"/>
          <w:szCs w:val="28"/>
        </w:rPr>
        <w:t>3</w:t>
      </w:r>
      <w:r w:rsidRPr="00DE4AF4">
        <w:rPr>
          <w:rFonts w:ascii="宋体" w:eastAsia="宋体" w:hAnsi="宋体" w:cs="宋体" w:hint="eastAsia"/>
          <w:kern w:val="0"/>
          <w:sz w:val="28"/>
          <w:szCs w:val="28"/>
        </w:rPr>
        <w:t>年7月</w:t>
      </w:r>
      <w:r w:rsidR="00561FC5">
        <w:rPr>
          <w:rFonts w:ascii="宋体" w:eastAsia="宋体" w:hAnsi="宋体" w:cs="宋体" w:hint="eastAsia"/>
          <w:kern w:val="0"/>
          <w:sz w:val="28"/>
          <w:szCs w:val="28"/>
        </w:rPr>
        <w:t>1日</w:t>
      </w:r>
      <w:r w:rsidRPr="00DE4AF4">
        <w:rPr>
          <w:rFonts w:ascii="宋体" w:eastAsia="宋体" w:hAnsi="宋体" w:cs="宋体" w:hint="eastAsia"/>
          <w:kern w:val="0"/>
          <w:sz w:val="28"/>
          <w:szCs w:val="28"/>
        </w:rPr>
        <w:t>至</w:t>
      </w:r>
      <w:r w:rsidR="00CB4F0F">
        <w:rPr>
          <w:rFonts w:ascii="宋体" w:eastAsia="宋体" w:hAnsi="宋体" w:cs="宋体" w:hint="eastAsia"/>
          <w:kern w:val="0"/>
          <w:sz w:val="28"/>
          <w:szCs w:val="28"/>
        </w:rPr>
        <w:t>2015</w:t>
      </w:r>
      <w:r w:rsidRPr="00DE4AF4">
        <w:rPr>
          <w:rFonts w:ascii="宋体" w:eastAsia="宋体" w:hAnsi="宋体" w:cs="宋体" w:hint="eastAsia"/>
          <w:kern w:val="0"/>
          <w:sz w:val="28"/>
          <w:szCs w:val="28"/>
        </w:rPr>
        <w:t>年6月</w:t>
      </w:r>
      <w:r w:rsidR="00561FC5">
        <w:rPr>
          <w:rFonts w:ascii="宋体" w:eastAsia="宋体" w:hAnsi="宋体" w:cs="宋体" w:hint="eastAsia"/>
          <w:kern w:val="0"/>
          <w:sz w:val="28"/>
          <w:szCs w:val="28"/>
        </w:rPr>
        <w:t>30日</w:t>
      </w:r>
      <w:r w:rsidRPr="00DE4AF4">
        <w:rPr>
          <w:rFonts w:ascii="宋体" w:eastAsia="宋体" w:hAnsi="宋体" w:cs="宋体" w:hint="eastAsia"/>
          <w:kern w:val="0"/>
          <w:sz w:val="28"/>
          <w:szCs w:val="28"/>
        </w:rPr>
        <w:t>期间发表的</w:t>
      </w:r>
      <w:r w:rsidR="003D63C8">
        <w:rPr>
          <w:rFonts w:ascii="宋体" w:eastAsia="宋体" w:hAnsi="宋体" w:cs="宋体" w:hint="eastAsia"/>
          <w:kern w:val="0"/>
          <w:sz w:val="28"/>
          <w:szCs w:val="28"/>
        </w:rPr>
        <w:t>哲学社会科学研究</w:t>
      </w:r>
      <w:r w:rsidR="00D970A3">
        <w:rPr>
          <w:rFonts w:ascii="宋体" w:eastAsia="宋体" w:hAnsi="宋体" w:cs="宋体" w:hint="eastAsia"/>
          <w:kern w:val="0"/>
          <w:sz w:val="28"/>
          <w:szCs w:val="28"/>
        </w:rPr>
        <w:t>成果，符合《</w:t>
      </w:r>
      <w:r w:rsidR="00FA78A4">
        <w:rPr>
          <w:rFonts w:ascii="宋体" w:eastAsia="宋体" w:hAnsi="宋体" w:cs="宋体" w:hint="eastAsia"/>
          <w:kern w:val="0"/>
          <w:sz w:val="28"/>
          <w:szCs w:val="28"/>
        </w:rPr>
        <w:t>北京市哲学社会科学优秀成果</w:t>
      </w:r>
      <w:r w:rsidR="00D970A3">
        <w:rPr>
          <w:rFonts w:ascii="宋体" w:eastAsia="宋体" w:hAnsi="宋体" w:cs="宋体" w:hint="eastAsia"/>
          <w:kern w:val="0"/>
          <w:sz w:val="28"/>
          <w:szCs w:val="28"/>
        </w:rPr>
        <w:t>评选条例</w:t>
      </w:r>
      <w:r w:rsidRPr="00DE4AF4">
        <w:rPr>
          <w:rFonts w:ascii="宋体" w:eastAsia="宋体" w:hAnsi="宋体" w:cs="宋体" w:hint="eastAsia"/>
          <w:kern w:val="0"/>
          <w:sz w:val="28"/>
          <w:szCs w:val="28"/>
        </w:rPr>
        <w:t>》</w:t>
      </w:r>
      <w:r w:rsidR="00FA78A4">
        <w:rPr>
          <w:rFonts w:ascii="宋体" w:eastAsia="宋体" w:hAnsi="宋体" w:cs="宋体" w:hint="eastAsia"/>
          <w:kern w:val="0"/>
          <w:sz w:val="28"/>
          <w:szCs w:val="28"/>
        </w:rPr>
        <w:t>（详见附件1）</w:t>
      </w:r>
      <w:r w:rsidRPr="00DE4AF4">
        <w:rPr>
          <w:rFonts w:ascii="宋体" w:eastAsia="宋体" w:hAnsi="宋体" w:cs="宋体" w:hint="eastAsia"/>
          <w:kern w:val="0"/>
          <w:sz w:val="28"/>
          <w:szCs w:val="28"/>
        </w:rPr>
        <w:t>有关规定的，均可参加评奖。</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2、</w:t>
      </w:r>
      <w:r w:rsidRPr="00DE4AF4">
        <w:rPr>
          <w:rFonts w:ascii="宋体" w:eastAsia="宋体" w:hAnsi="宋体" w:cs="宋体" w:hint="eastAsia"/>
          <w:color w:val="000000"/>
          <w:kern w:val="0"/>
          <w:sz w:val="28"/>
          <w:szCs w:val="28"/>
        </w:rPr>
        <w:t>参评成果须公开出版或发表；对确有较高应用价值、但不宜公开发表的调研报告，须经委托单位同意，并提交结项证书复印件，方可申报参评。</w:t>
      </w:r>
      <w:r w:rsidR="003D63C8">
        <w:rPr>
          <w:rFonts w:ascii="宋体" w:eastAsia="宋体" w:hAnsi="宋体" w:cs="宋体" w:hint="eastAsia"/>
          <w:color w:val="000000"/>
          <w:kern w:val="0"/>
          <w:sz w:val="28"/>
          <w:szCs w:val="28"/>
        </w:rPr>
        <w:t>教材类成果原则上不参评</w:t>
      </w:r>
      <w:r w:rsidR="00D970A3">
        <w:rPr>
          <w:rFonts w:ascii="宋体" w:eastAsia="宋体" w:hAnsi="宋体" w:cs="宋体" w:hint="eastAsia"/>
          <w:color w:val="000000"/>
          <w:kern w:val="0"/>
          <w:sz w:val="28"/>
          <w:szCs w:val="28"/>
        </w:rPr>
        <w:t>。</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3</w:t>
      </w:r>
      <w:r w:rsidR="003D63C8">
        <w:rPr>
          <w:rFonts w:ascii="宋体" w:eastAsia="宋体" w:hAnsi="宋体" w:cs="宋体" w:hint="eastAsia"/>
          <w:kern w:val="0"/>
          <w:sz w:val="28"/>
          <w:szCs w:val="28"/>
        </w:rPr>
        <w:t>、个人同一专题有较强系统性辑集而成的论文集视同于专著</w:t>
      </w:r>
      <w:r w:rsidRPr="00DE4AF4">
        <w:rPr>
          <w:rFonts w:ascii="宋体" w:eastAsia="宋体" w:hAnsi="宋体" w:cs="宋体" w:hint="eastAsia"/>
          <w:kern w:val="0"/>
          <w:sz w:val="28"/>
          <w:szCs w:val="28"/>
        </w:rPr>
        <w:t>；多卷本著作须出齐后一次申报，参评时间以最后一本著作出版日期为准。</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4、已获得省部级以上奖励的哲学社会科学研究成果，不在参评之列。</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二、评奖程序及评审原则</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1、凡申报参评的研究成果，由成果的第一作者填写《首都经济贸易大学优秀科研成果申报书</w:t>
      </w:r>
      <w:r w:rsidRPr="00DE4AF4">
        <w:rPr>
          <w:rFonts w:ascii="宋体" w:eastAsia="宋体" w:hAnsi="宋体" w:cs="宋体" w:hint="eastAsia"/>
          <w:bCs/>
          <w:kern w:val="0"/>
          <w:sz w:val="28"/>
          <w:szCs w:val="28"/>
        </w:rPr>
        <w:t>》</w:t>
      </w:r>
      <w:r w:rsidR="00FA78A4">
        <w:rPr>
          <w:rFonts w:ascii="宋体" w:eastAsia="宋体" w:hAnsi="宋体" w:cs="宋体" w:hint="eastAsia"/>
          <w:bCs/>
          <w:kern w:val="0"/>
          <w:sz w:val="28"/>
          <w:szCs w:val="28"/>
        </w:rPr>
        <w:t>（详见附件2）</w:t>
      </w:r>
      <w:r w:rsidRPr="00DE4AF4">
        <w:rPr>
          <w:rFonts w:ascii="宋体" w:eastAsia="宋体" w:hAnsi="宋体" w:cs="宋体" w:hint="eastAsia"/>
          <w:bCs/>
          <w:kern w:val="0"/>
          <w:sz w:val="28"/>
          <w:szCs w:val="28"/>
        </w:rPr>
        <w:t>，</w:t>
      </w:r>
      <w:r w:rsidRPr="00DE4AF4">
        <w:rPr>
          <w:rFonts w:ascii="宋体" w:eastAsia="宋体" w:hAnsi="宋体" w:cs="宋体" w:hint="eastAsia"/>
          <w:kern w:val="0"/>
          <w:sz w:val="28"/>
          <w:szCs w:val="28"/>
        </w:rPr>
        <w:t>向本院系学术委员会提出申报。待</w:t>
      </w:r>
      <w:r w:rsidR="00CB4F0F">
        <w:rPr>
          <w:rFonts w:ascii="宋体" w:eastAsia="宋体" w:hAnsi="宋体" w:cs="宋体" w:hint="eastAsia"/>
          <w:kern w:val="0"/>
          <w:sz w:val="28"/>
          <w:szCs w:val="28"/>
        </w:rPr>
        <w:t>学校学术委员会审议并推荐参加北京市第十四</w:t>
      </w:r>
      <w:r w:rsidRPr="00DE4AF4">
        <w:rPr>
          <w:rFonts w:ascii="宋体" w:eastAsia="宋体" w:hAnsi="宋体" w:cs="宋体" w:hint="eastAsia"/>
          <w:kern w:val="0"/>
          <w:sz w:val="28"/>
          <w:szCs w:val="28"/>
        </w:rPr>
        <w:t>届哲学</w:t>
      </w:r>
      <w:r w:rsidRPr="00DE4AF4">
        <w:rPr>
          <w:rFonts w:ascii="宋体" w:eastAsia="宋体" w:hAnsi="宋体" w:cs="宋体" w:hint="eastAsia"/>
          <w:kern w:val="0"/>
          <w:sz w:val="28"/>
          <w:szCs w:val="28"/>
        </w:rPr>
        <w:lastRenderedPageBreak/>
        <w:t>社会科学优秀成果奖评选时再填报《</w:t>
      </w:r>
      <w:r w:rsidR="00CB4F0F">
        <w:rPr>
          <w:rFonts w:ascii="宋体" w:eastAsia="宋体" w:hAnsi="宋体" w:cs="宋体" w:hint="eastAsia"/>
          <w:bCs/>
          <w:kern w:val="0"/>
          <w:sz w:val="28"/>
          <w:szCs w:val="28"/>
        </w:rPr>
        <w:t>北京市第十四</w:t>
      </w:r>
      <w:r w:rsidRPr="00DE4AF4">
        <w:rPr>
          <w:rFonts w:ascii="宋体" w:eastAsia="宋体" w:hAnsi="宋体" w:cs="宋体" w:hint="eastAsia"/>
          <w:bCs/>
          <w:kern w:val="0"/>
          <w:sz w:val="28"/>
          <w:szCs w:val="28"/>
        </w:rPr>
        <w:t>届哲学社会科学优秀成果奖申报书》。</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2、</w:t>
      </w:r>
      <w:r w:rsidR="007C0E61">
        <w:rPr>
          <w:rFonts w:ascii="宋体" w:eastAsia="宋体" w:hAnsi="宋体" w:cs="宋体" w:hint="eastAsia"/>
          <w:kern w:val="0"/>
          <w:sz w:val="28"/>
          <w:szCs w:val="28"/>
        </w:rPr>
        <w:t>多人合作的研究成果,由第一作者向本单位申报；如第一作者不申报的，应以书面形式授权委托其他作者一人申报；</w:t>
      </w:r>
      <w:r w:rsidRPr="00DE4AF4">
        <w:rPr>
          <w:rFonts w:ascii="宋体" w:eastAsia="宋体" w:hAnsi="宋体" w:cs="宋体" w:hint="eastAsia"/>
          <w:kern w:val="0"/>
          <w:sz w:val="28"/>
          <w:szCs w:val="28"/>
        </w:rPr>
        <w:t>同一成果不得多处申报，每个申报者只能申报一项。</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3、申请参加评奖的</w:t>
      </w:r>
      <w:r w:rsidR="00D970A3">
        <w:rPr>
          <w:rFonts w:ascii="宋体" w:eastAsia="宋体" w:hAnsi="宋体" w:cs="宋体" w:hint="eastAsia"/>
          <w:kern w:val="0"/>
          <w:sz w:val="28"/>
          <w:szCs w:val="28"/>
        </w:rPr>
        <w:t>请提交《</w:t>
      </w:r>
      <w:r w:rsidR="00D970A3" w:rsidRPr="00D970A3">
        <w:rPr>
          <w:rFonts w:ascii="宋体" w:eastAsia="宋体" w:hAnsi="宋体" w:cs="宋体" w:hint="eastAsia"/>
          <w:kern w:val="0"/>
          <w:sz w:val="28"/>
          <w:szCs w:val="28"/>
        </w:rPr>
        <w:t>首都经济贸易大学优秀科研成果申报表</w:t>
      </w:r>
      <w:r w:rsidR="00D970A3">
        <w:rPr>
          <w:rFonts w:ascii="宋体" w:eastAsia="宋体" w:hAnsi="宋体" w:cs="宋体" w:hint="eastAsia"/>
          <w:kern w:val="0"/>
          <w:sz w:val="28"/>
          <w:szCs w:val="28"/>
        </w:rPr>
        <w:t>》5份，</w:t>
      </w:r>
      <w:r w:rsidRPr="00DE4AF4">
        <w:rPr>
          <w:rFonts w:ascii="宋体" w:eastAsia="宋体" w:hAnsi="宋体" w:cs="宋体" w:hint="eastAsia"/>
          <w:kern w:val="0"/>
          <w:sz w:val="28"/>
          <w:szCs w:val="28"/>
        </w:rPr>
        <w:t>论文和调研报告类研究成果提交1份原件和3份复印件，其他需提交4份原件。以非汉语撰写的公开出版、公开发表、确有较高学术价值的哲学社会科学成果须提交原作品并附汉译文。</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研究成果的社会效果和学术价值的评价，要出具证明材料。报刊评论应提交1份原件和3份复印件。</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4、</w:t>
      </w:r>
      <w:r w:rsidRPr="00DE4AF4">
        <w:rPr>
          <w:rFonts w:ascii="宋体" w:eastAsia="宋体" w:hAnsi="宋体" w:cs="宋体" w:hint="eastAsia"/>
          <w:kern w:val="0"/>
          <w:sz w:val="28"/>
          <w:szCs w:val="28"/>
          <w:u w:val="single"/>
        </w:rPr>
        <w:t>申报截止日期为</w:t>
      </w:r>
      <w:r w:rsidRPr="00D970A3">
        <w:rPr>
          <w:rFonts w:ascii="宋体" w:eastAsia="宋体" w:hAnsi="宋体" w:cs="宋体" w:hint="eastAsia"/>
          <w:kern w:val="0"/>
          <w:sz w:val="28"/>
          <w:szCs w:val="28"/>
          <w:u w:val="single"/>
        </w:rPr>
        <w:t>201</w:t>
      </w:r>
      <w:r w:rsidR="00CB4F0F" w:rsidRPr="00D970A3">
        <w:rPr>
          <w:rFonts w:ascii="宋体" w:eastAsia="宋体" w:hAnsi="宋体" w:cs="宋体" w:hint="eastAsia"/>
          <w:kern w:val="0"/>
          <w:sz w:val="28"/>
          <w:szCs w:val="28"/>
          <w:u w:val="single"/>
        </w:rPr>
        <w:t>6</w:t>
      </w:r>
      <w:r w:rsidRPr="00D970A3">
        <w:rPr>
          <w:rFonts w:ascii="宋体" w:eastAsia="宋体" w:hAnsi="宋体" w:cs="宋体" w:hint="eastAsia"/>
          <w:kern w:val="0"/>
          <w:sz w:val="28"/>
          <w:szCs w:val="28"/>
          <w:u w:val="single"/>
        </w:rPr>
        <w:t>年</w:t>
      </w:r>
      <w:r w:rsidR="00097254" w:rsidRPr="00D970A3">
        <w:rPr>
          <w:rFonts w:ascii="宋体" w:eastAsia="宋体" w:hAnsi="宋体" w:cs="宋体" w:hint="eastAsia"/>
          <w:kern w:val="0"/>
          <w:sz w:val="28"/>
          <w:szCs w:val="28"/>
          <w:u w:val="single"/>
        </w:rPr>
        <w:t>7</w:t>
      </w:r>
      <w:r w:rsidRPr="00D970A3">
        <w:rPr>
          <w:rFonts w:ascii="宋体" w:eastAsia="宋体" w:hAnsi="宋体" w:cs="宋体" w:hint="eastAsia"/>
          <w:kern w:val="0"/>
          <w:sz w:val="28"/>
          <w:szCs w:val="28"/>
          <w:u w:val="single"/>
        </w:rPr>
        <w:t>月</w:t>
      </w:r>
      <w:r w:rsidR="00097254" w:rsidRPr="00D970A3">
        <w:rPr>
          <w:rFonts w:ascii="宋体" w:eastAsia="宋体" w:hAnsi="宋体" w:cs="宋体" w:hint="eastAsia"/>
          <w:kern w:val="0"/>
          <w:sz w:val="28"/>
          <w:szCs w:val="28"/>
          <w:u w:val="single"/>
        </w:rPr>
        <w:t>8</w:t>
      </w:r>
      <w:r w:rsidRPr="00D970A3">
        <w:rPr>
          <w:rFonts w:ascii="宋体" w:eastAsia="宋体" w:hAnsi="宋体" w:cs="宋体" w:hint="eastAsia"/>
          <w:kern w:val="0"/>
          <w:sz w:val="28"/>
          <w:szCs w:val="28"/>
          <w:u w:val="single"/>
        </w:rPr>
        <w:t>日。</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5、每项申报评奖的成果均需经过本院系学术委员会评选。各院系学术委员会在审查成果时，要严格掌握评奖标准，参考报刊评论、社会反映和有关证明材料，在此基础上提出对成果的评选意见，填写院系推荐意见，</w:t>
      </w:r>
      <w:r w:rsidRPr="00D970A3">
        <w:rPr>
          <w:rFonts w:ascii="宋体" w:eastAsia="宋体" w:hAnsi="宋体" w:cs="宋体" w:hint="eastAsia"/>
          <w:kern w:val="0"/>
          <w:sz w:val="28"/>
          <w:szCs w:val="28"/>
          <w:u w:val="single"/>
        </w:rPr>
        <w:t>于</w:t>
      </w:r>
      <w:r w:rsidR="006B1375" w:rsidRPr="00D970A3">
        <w:rPr>
          <w:rFonts w:ascii="宋体" w:eastAsia="宋体" w:hAnsi="宋体" w:cs="宋体" w:hint="eastAsia"/>
          <w:kern w:val="0"/>
          <w:sz w:val="28"/>
          <w:szCs w:val="28"/>
          <w:u w:val="single"/>
        </w:rPr>
        <w:t>2016</w:t>
      </w:r>
      <w:r w:rsidRPr="00D970A3">
        <w:rPr>
          <w:rFonts w:ascii="宋体" w:eastAsia="宋体" w:hAnsi="宋体" w:cs="宋体" w:hint="eastAsia"/>
          <w:kern w:val="0"/>
          <w:sz w:val="28"/>
          <w:szCs w:val="28"/>
          <w:u w:val="single"/>
        </w:rPr>
        <w:t>年</w:t>
      </w:r>
      <w:r w:rsidR="00097254" w:rsidRPr="00D970A3">
        <w:rPr>
          <w:rFonts w:ascii="宋体" w:eastAsia="宋体" w:hAnsi="宋体" w:cs="宋体" w:hint="eastAsia"/>
          <w:kern w:val="0"/>
          <w:sz w:val="28"/>
          <w:szCs w:val="28"/>
          <w:u w:val="single"/>
        </w:rPr>
        <w:t>7</w:t>
      </w:r>
      <w:r w:rsidRPr="00D970A3">
        <w:rPr>
          <w:rFonts w:ascii="宋体" w:eastAsia="宋体" w:hAnsi="宋体" w:cs="宋体" w:hint="eastAsia"/>
          <w:kern w:val="0"/>
          <w:sz w:val="28"/>
          <w:szCs w:val="28"/>
          <w:u w:val="single"/>
        </w:rPr>
        <w:t>月</w:t>
      </w:r>
      <w:r w:rsidR="00097254" w:rsidRPr="00D970A3">
        <w:rPr>
          <w:rFonts w:ascii="宋体" w:eastAsia="宋体" w:hAnsi="宋体" w:cs="宋体" w:hint="eastAsia"/>
          <w:kern w:val="0"/>
          <w:sz w:val="28"/>
          <w:szCs w:val="28"/>
          <w:u w:val="single"/>
        </w:rPr>
        <w:t>8</w:t>
      </w:r>
      <w:r w:rsidRPr="00D970A3">
        <w:rPr>
          <w:rFonts w:ascii="宋体" w:eastAsia="宋体" w:hAnsi="宋体" w:cs="宋体" w:hint="eastAsia"/>
          <w:kern w:val="0"/>
          <w:sz w:val="28"/>
          <w:szCs w:val="28"/>
          <w:u w:val="single"/>
        </w:rPr>
        <w:t>日</w:t>
      </w:r>
      <w:r w:rsidRPr="00DE4AF4">
        <w:rPr>
          <w:rFonts w:ascii="宋体" w:eastAsia="宋体" w:hAnsi="宋体" w:cs="宋体" w:hint="eastAsia"/>
          <w:kern w:val="0"/>
          <w:sz w:val="28"/>
          <w:szCs w:val="28"/>
          <w:u w:val="single"/>
        </w:rPr>
        <w:t>前将纸质和电子版报送科研处（keyanchu@cueb.edu.cn）</w:t>
      </w:r>
      <w:r w:rsidRPr="00DE4AF4">
        <w:rPr>
          <w:rFonts w:ascii="宋体" w:eastAsia="宋体" w:hAnsi="宋体" w:cs="宋体" w:hint="eastAsia"/>
          <w:kern w:val="0"/>
          <w:sz w:val="28"/>
          <w:szCs w:val="28"/>
        </w:rPr>
        <w:t>。</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6、校学术委员会设经济学、管理学、综合学科等学科组，负责各学科优秀成果评审工作。</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t>7、各院系学术委员会、校学术委员会各学科组在评选过程中，要</w:t>
      </w:r>
      <w:r w:rsidRPr="00DE4AF4">
        <w:rPr>
          <w:rFonts w:ascii="宋体" w:eastAsia="宋体" w:hAnsi="宋体" w:cs="宋体" w:hint="eastAsia"/>
          <w:kern w:val="0"/>
          <w:sz w:val="28"/>
          <w:szCs w:val="30"/>
        </w:rPr>
        <w:t>以成果质量为依据，坚持公正、公平的原则、少数服从多数的原则，通过民主评议，采用无记名投票方式</w:t>
      </w:r>
      <w:r w:rsidRPr="00DE4AF4">
        <w:rPr>
          <w:rFonts w:ascii="宋体" w:eastAsia="宋体" w:hAnsi="宋体" w:cs="宋体" w:hint="eastAsia"/>
          <w:kern w:val="0"/>
          <w:sz w:val="28"/>
          <w:szCs w:val="28"/>
        </w:rPr>
        <w:t>择优评选和推荐优秀结果。</w:t>
      </w:r>
    </w:p>
    <w:p w:rsidR="00DE4AF4" w:rsidRPr="00DE4AF4" w:rsidRDefault="00DE4AF4" w:rsidP="00DE4AF4">
      <w:pPr>
        <w:widowControl/>
        <w:spacing w:line="360" w:lineRule="auto"/>
        <w:ind w:firstLineChars="200" w:firstLine="560"/>
        <w:jc w:val="left"/>
        <w:rPr>
          <w:rFonts w:ascii="宋体" w:eastAsia="宋体" w:hAnsi="宋体" w:cs="宋体"/>
          <w:kern w:val="0"/>
          <w:sz w:val="24"/>
          <w:szCs w:val="24"/>
        </w:rPr>
      </w:pPr>
      <w:r w:rsidRPr="00DE4AF4">
        <w:rPr>
          <w:rFonts w:ascii="宋体" w:eastAsia="宋体" w:hAnsi="宋体" w:cs="宋体" w:hint="eastAsia"/>
          <w:kern w:val="0"/>
          <w:sz w:val="28"/>
          <w:szCs w:val="28"/>
        </w:rPr>
        <w:lastRenderedPageBreak/>
        <w:t>8、对获得本届优秀成果奖者，依据《首都经济贸易大学科研奖励管理办法》给予奖励。</w:t>
      </w:r>
    </w:p>
    <w:p w:rsidR="00DE4AF4" w:rsidRPr="00DE4AF4" w:rsidRDefault="00DE4AF4" w:rsidP="00DE4AF4">
      <w:pPr>
        <w:widowControl/>
        <w:spacing w:line="360" w:lineRule="auto"/>
        <w:jc w:val="left"/>
        <w:rPr>
          <w:rFonts w:ascii="宋体" w:eastAsia="宋体" w:hAnsi="宋体" w:cs="宋体"/>
          <w:kern w:val="0"/>
          <w:sz w:val="24"/>
          <w:szCs w:val="24"/>
        </w:rPr>
      </w:pPr>
    </w:p>
    <w:p w:rsidR="00DE4AF4" w:rsidRPr="00DE4AF4" w:rsidRDefault="00DE4AF4" w:rsidP="00DE4AF4">
      <w:pPr>
        <w:widowControl/>
        <w:spacing w:line="360" w:lineRule="auto"/>
        <w:jc w:val="left"/>
        <w:rPr>
          <w:rFonts w:ascii="宋体" w:eastAsia="宋体" w:hAnsi="宋体" w:cs="宋体"/>
          <w:kern w:val="0"/>
          <w:sz w:val="24"/>
          <w:szCs w:val="24"/>
        </w:rPr>
      </w:pPr>
      <w:r w:rsidRPr="00DE4AF4">
        <w:rPr>
          <w:rFonts w:ascii="宋体" w:eastAsia="宋体" w:hAnsi="宋体" w:cs="宋体" w:hint="eastAsia"/>
          <w:kern w:val="0"/>
          <w:sz w:val="28"/>
          <w:szCs w:val="28"/>
        </w:rPr>
        <w:t>联系人和联系电话：</w:t>
      </w:r>
    </w:p>
    <w:p w:rsidR="00DE4AF4" w:rsidRPr="000F1049" w:rsidRDefault="00DE4AF4" w:rsidP="00DE4AF4">
      <w:pPr>
        <w:widowControl/>
        <w:spacing w:line="360" w:lineRule="auto"/>
        <w:jc w:val="left"/>
        <w:rPr>
          <w:rFonts w:ascii="宋体" w:eastAsia="宋体" w:hAnsi="宋体" w:cs="宋体"/>
          <w:kern w:val="0"/>
          <w:sz w:val="24"/>
          <w:szCs w:val="24"/>
        </w:rPr>
      </w:pPr>
      <w:r w:rsidRPr="00DE4AF4">
        <w:rPr>
          <w:rFonts w:ascii="宋体" w:eastAsia="宋体" w:hAnsi="宋体" w:cs="宋体" w:hint="eastAsia"/>
          <w:kern w:val="0"/>
          <w:sz w:val="28"/>
          <w:szCs w:val="28"/>
        </w:rPr>
        <w:t>姜  红 83952330</w:t>
      </w:r>
    </w:p>
    <w:p w:rsidR="006B1375" w:rsidRDefault="006B1375" w:rsidP="00DE4AF4">
      <w:pPr>
        <w:widowControl/>
        <w:spacing w:line="360" w:lineRule="auto"/>
        <w:jc w:val="left"/>
        <w:rPr>
          <w:rFonts w:ascii="宋体" w:eastAsia="宋体" w:hAnsi="宋体" w:cs="宋体"/>
          <w:kern w:val="0"/>
          <w:sz w:val="28"/>
          <w:szCs w:val="28"/>
        </w:rPr>
      </w:pPr>
      <w:r>
        <w:rPr>
          <w:rFonts w:ascii="宋体" w:eastAsia="宋体" w:hAnsi="宋体" w:cs="宋体" w:hint="eastAsia"/>
          <w:kern w:val="0"/>
          <w:sz w:val="28"/>
          <w:szCs w:val="28"/>
        </w:rPr>
        <w:t>李艳杰</w:t>
      </w:r>
      <w:r w:rsidR="00DE4AF4" w:rsidRPr="00DE4AF4">
        <w:rPr>
          <w:rFonts w:ascii="宋体" w:eastAsia="宋体" w:hAnsi="宋体" w:cs="宋体" w:hint="eastAsia"/>
          <w:kern w:val="0"/>
          <w:sz w:val="28"/>
          <w:szCs w:val="28"/>
        </w:rPr>
        <w:t xml:space="preserve"> </w:t>
      </w:r>
      <w:r w:rsidRPr="00DE4AF4">
        <w:rPr>
          <w:rFonts w:ascii="宋体" w:eastAsia="宋体" w:hAnsi="宋体" w:cs="宋体" w:hint="eastAsia"/>
          <w:kern w:val="0"/>
          <w:sz w:val="28"/>
          <w:szCs w:val="28"/>
        </w:rPr>
        <w:t>83951660</w:t>
      </w:r>
    </w:p>
    <w:p w:rsidR="00DE4AF4" w:rsidRPr="00825A67" w:rsidRDefault="006B1375" w:rsidP="00825A67">
      <w:pPr>
        <w:widowControl/>
        <w:spacing w:line="360" w:lineRule="auto"/>
        <w:jc w:val="left"/>
        <w:rPr>
          <w:rFonts w:ascii="宋体" w:eastAsia="宋体" w:hAnsi="宋体" w:cs="宋体"/>
          <w:kern w:val="0"/>
          <w:sz w:val="24"/>
          <w:szCs w:val="24"/>
        </w:rPr>
      </w:pPr>
      <w:r>
        <w:rPr>
          <w:rFonts w:ascii="宋体" w:eastAsia="宋体" w:hAnsi="宋体" w:cs="宋体" w:hint="eastAsia"/>
          <w:kern w:val="0"/>
          <w:sz w:val="28"/>
          <w:szCs w:val="28"/>
        </w:rPr>
        <w:t xml:space="preserve">蔡万江 </w:t>
      </w:r>
      <w:r w:rsidR="00DE4AF4" w:rsidRPr="00DE4AF4">
        <w:rPr>
          <w:rFonts w:ascii="宋体" w:eastAsia="宋体" w:hAnsi="宋体" w:cs="宋体" w:hint="eastAsia"/>
          <w:kern w:val="0"/>
          <w:sz w:val="28"/>
          <w:szCs w:val="28"/>
        </w:rPr>
        <w:t>83952881</w:t>
      </w:r>
      <w:bookmarkStart w:id="0" w:name="_GoBack"/>
      <w:bookmarkEnd w:id="0"/>
    </w:p>
    <w:sectPr w:rsidR="00DE4AF4" w:rsidRPr="00825A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B2E"/>
    <w:rsid w:val="00097254"/>
    <w:rsid w:val="000F1049"/>
    <w:rsid w:val="003D63C8"/>
    <w:rsid w:val="00561FC5"/>
    <w:rsid w:val="006B1375"/>
    <w:rsid w:val="007C0E61"/>
    <w:rsid w:val="00825A67"/>
    <w:rsid w:val="00955B2E"/>
    <w:rsid w:val="00CB4F0F"/>
    <w:rsid w:val="00D45DCC"/>
    <w:rsid w:val="00D970A3"/>
    <w:rsid w:val="00DE4AF4"/>
    <w:rsid w:val="00E46D71"/>
    <w:rsid w:val="00FA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46882">
      <w:bodyDiv w:val="1"/>
      <w:marLeft w:val="0"/>
      <w:marRight w:val="0"/>
      <w:marTop w:val="0"/>
      <w:marBottom w:val="0"/>
      <w:divBdr>
        <w:top w:val="none" w:sz="0" w:space="0" w:color="auto"/>
        <w:left w:val="none" w:sz="0" w:space="0" w:color="auto"/>
        <w:bottom w:val="none" w:sz="0" w:space="0" w:color="auto"/>
        <w:right w:val="none" w:sz="0" w:space="0" w:color="auto"/>
      </w:divBdr>
      <w:divsChild>
        <w:div w:id="1615822308">
          <w:marLeft w:val="0"/>
          <w:marRight w:val="0"/>
          <w:marTop w:val="0"/>
          <w:marBottom w:val="0"/>
          <w:divBdr>
            <w:top w:val="none" w:sz="0" w:space="0" w:color="auto"/>
            <w:left w:val="none" w:sz="0" w:space="0" w:color="auto"/>
            <w:bottom w:val="none" w:sz="0" w:space="0" w:color="auto"/>
            <w:right w:val="none" w:sz="0" w:space="0" w:color="auto"/>
          </w:divBdr>
          <w:divsChild>
            <w:div w:id="1134715466">
              <w:marLeft w:val="0"/>
              <w:marRight w:val="0"/>
              <w:marTop w:val="0"/>
              <w:marBottom w:val="0"/>
              <w:divBdr>
                <w:top w:val="none" w:sz="0" w:space="0" w:color="auto"/>
                <w:left w:val="none" w:sz="0" w:space="0" w:color="auto"/>
                <w:bottom w:val="none" w:sz="0" w:space="0" w:color="auto"/>
                <w:right w:val="none" w:sz="0" w:space="0" w:color="auto"/>
              </w:divBdr>
              <w:divsChild>
                <w:div w:id="2029526847">
                  <w:marLeft w:val="0"/>
                  <w:marRight w:val="0"/>
                  <w:marTop w:val="0"/>
                  <w:marBottom w:val="0"/>
                  <w:divBdr>
                    <w:top w:val="none" w:sz="0" w:space="0" w:color="auto"/>
                    <w:left w:val="none" w:sz="0" w:space="0" w:color="auto"/>
                    <w:bottom w:val="none" w:sz="0" w:space="0" w:color="auto"/>
                    <w:right w:val="none" w:sz="0" w:space="0" w:color="auto"/>
                  </w:divBdr>
                  <w:divsChild>
                    <w:div w:id="1056246508">
                      <w:marLeft w:val="0"/>
                      <w:marRight w:val="0"/>
                      <w:marTop w:val="0"/>
                      <w:marBottom w:val="0"/>
                      <w:divBdr>
                        <w:top w:val="none" w:sz="0" w:space="0" w:color="auto"/>
                        <w:left w:val="none" w:sz="0" w:space="0" w:color="auto"/>
                        <w:bottom w:val="none" w:sz="0" w:space="0" w:color="auto"/>
                        <w:right w:val="none" w:sz="0" w:space="0" w:color="auto"/>
                      </w:divBdr>
                      <w:divsChild>
                        <w:div w:id="448210318">
                          <w:marLeft w:val="0"/>
                          <w:marRight w:val="0"/>
                          <w:marTop w:val="0"/>
                          <w:marBottom w:val="0"/>
                          <w:divBdr>
                            <w:top w:val="none" w:sz="0" w:space="0" w:color="auto"/>
                            <w:left w:val="none" w:sz="0" w:space="0" w:color="auto"/>
                            <w:bottom w:val="none" w:sz="0" w:space="0" w:color="auto"/>
                            <w:right w:val="none" w:sz="0" w:space="0" w:color="auto"/>
                          </w:divBdr>
                          <w:divsChild>
                            <w:div w:id="1242711793">
                              <w:marLeft w:val="0"/>
                              <w:marRight w:val="0"/>
                              <w:marTop w:val="0"/>
                              <w:marBottom w:val="0"/>
                              <w:divBdr>
                                <w:top w:val="none" w:sz="0" w:space="0" w:color="auto"/>
                                <w:left w:val="none" w:sz="0" w:space="0" w:color="auto"/>
                                <w:bottom w:val="none" w:sz="0" w:space="0" w:color="auto"/>
                                <w:right w:val="none" w:sz="0" w:space="0" w:color="auto"/>
                              </w:divBdr>
                              <w:divsChild>
                                <w:div w:id="90795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zhangjiayan</dc:creator>
  <cp:keywords/>
  <dc:description/>
  <cp:lastModifiedBy>cueb</cp:lastModifiedBy>
  <cp:revision>48</cp:revision>
  <dcterms:created xsi:type="dcterms:W3CDTF">2016-06-15T02:55:00Z</dcterms:created>
  <dcterms:modified xsi:type="dcterms:W3CDTF">2016-06-28T06:56:00Z</dcterms:modified>
</cp:coreProperties>
</file>