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836AF" w14:textId="3E884533" w:rsidR="004C6116" w:rsidRPr="00C540C6" w:rsidRDefault="004C6116" w:rsidP="004C6116">
      <w:pPr>
        <w:rPr>
          <w:rFonts w:ascii="仿宋" w:eastAsia="仿宋" w:hAnsi="仿宋" w:cs="仿宋"/>
          <w:b/>
          <w:bCs/>
          <w:sz w:val="24"/>
          <w:szCs w:val="32"/>
        </w:rPr>
      </w:pPr>
      <w:r w:rsidRPr="00C540C6">
        <w:rPr>
          <w:rFonts w:ascii="仿宋" w:eastAsia="仿宋" w:hAnsi="仿宋" w:cs="仿宋" w:hint="eastAsia"/>
          <w:b/>
          <w:bCs/>
          <w:sz w:val="24"/>
          <w:szCs w:val="32"/>
        </w:rPr>
        <w:t>附件</w:t>
      </w:r>
      <w:r>
        <w:rPr>
          <w:rFonts w:ascii="仿宋" w:eastAsia="仿宋" w:hAnsi="仿宋" w:cs="仿宋"/>
          <w:b/>
          <w:bCs/>
          <w:sz w:val="24"/>
          <w:szCs w:val="32"/>
        </w:rPr>
        <w:t>4.</w:t>
      </w:r>
    </w:p>
    <w:p w14:paraId="2AE51E2F" w14:textId="77777777" w:rsidR="004C6116" w:rsidRDefault="004C6116">
      <w:pPr>
        <w:spacing w:after="200" w:line="560" w:lineRule="exact"/>
        <w:jc w:val="center"/>
        <w:rPr>
          <w:rFonts w:ascii="方正小标宋简体" w:eastAsia="方正小标宋简体" w:hAnsi="方正小标宋简体" w:cs="方正小标宋简体"/>
          <w:spacing w:val="-24"/>
          <w:sz w:val="44"/>
          <w:szCs w:val="44"/>
          <w14:ligatures w14:val="none"/>
        </w:rPr>
      </w:pPr>
    </w:p>
    <w:p w14:paraId="17449FBA" w14:textId="0CD38D6C" w:rsidR="00D54F66" w:rsidRDefault="00012090">
      <w:pPr>
        <w:spacing w:after="200" w:line="560" w:lineRule="exact"/>
        <w:jc w:val="center"/>
        <w:rPr>
          <w:rFonts w:ascii="方正小标宋简体" w:eastAsia="方正小标宋简体" w:hAnsi="方正小标宋简体" w:cs="方正小标宋简体"/>
          <w:spacing w:val="-24"/>
          <w:sz w:val="44"/>
          <w:szCs w:val="44"/>
          <w14:ligatures w14:val="none"/>
        </w:rPr>
      </w:pPr>
      <w:r>
        <w:rPr>
          <w:rFonts w:ascii="方正小标宋简体" w:eastAsia="方正小标宋简体" w:hAnsi="方正小标宋简体" w:cs="方正小标宋简体" w:hint="eastAsia"/>
          <w:spacing w:val="-24"/>
          <w:sz w:val="44"/>
          <w:szCs w:val="44"/>
          <w14:ligatures w14:val="none"/>
        </w:rPr>
        <w:t>第十届“青春建言</w:t>
      </w:r>
      <w:r>
        <w:rPr>
          <w:rFonts w:ascii="方正小标宋简体" w:eastAsia="方正小标宋简体" w:hAnsi="方正小标宋简体" w:cs="方正小标宋简体" w:hint="eastAsia"/>
          <w:spacing w:val="-24"/>
          <w:sz w:val="44"/>
          <w:szCs w:val="44"/>
          <w14:ligatures w14:val="none"/>
        </w:rPr>
        <w:t xml:space="preserve"> </w:t>
      </w:r>
      <w:r>
        <w:rPr>
          <w:rFonts w:ascii="方正小标宋简体" w:eastAsia="方正小标宋简体" w:hAnsi="方正小标宋简体" w:cs="方正小标宋简体" w:hint="eastAsia"/>
          <w:spacing w:val="-24"/>
          <w:sz w:val="44"/>
          <w:szCs w:val="44"/>
          <w14:ligatures w14:val="none"/>
        </w:rPr>
        <w:t>共谋未来”获奖名单及部分范例参考</w:t>
      </w:r>
      <w:bookmarkStart w:id="0" w:name="_Hlk176941729"/>
    </w:p>
    <w:p w14:paraId="7F709B1C" w14:textId="77777777" w:rsidR="00D54F66" w:rsidRDefault="00012090" w:rsidP="004C6116">
      <w:pPr>
        <w:spacing w:line="360" w:lineRule="exact"/>
        <w:rPr>
          <w:rFonts w:ascii="仿宋_GB2312" w:eastAsia="仿宋_GB2312" w:hAnsi="宋体" w:cs="仿宋_GB2312"/>
          <w:b/>
          <w:bCs/>
          <w:sz w:val="28"/>
          <w:szCs w:val="28"/>
        </w:rPr>
      </w:pPr>
      <w:r>
        <w:rPr>
          <w:rFonts w:ascii="仿宋_GB2312" w:eastAsia="仿宋_GB2312" w:hAnsi="宋体" w:cs="仿宋_GB2312" w:hint="eastAsia"/>
          <w:b/>
          <w:bCs/>
          <w:sz w:val="28"/>
          <w:szCs w:val="28"/>
        </w:rPr>
        <w:t>一、获奖名单</w:t>
      </w:r>
    </w:p>
    <w:p w14:paraId="23AB44EF" w14:textId="77777777" w:rsidR="00D54F66" w:rsidRPr="004C6116" w:rsidRDefault="00012090" w:rsidP="004C6116">
      <w:pPr>
        <w:spacing w:line="360" w:lineRule="exact"/>
        <w:jc w:val="left"/>
        <w:rPr>
          <w:rFonts w:ascii="仿宋_GB2312" w:eastAsia="仿宋_GB2312" w:hAnsi="宋体" w:cs="仿宋_GB2312"/>
          <w:b/>
          <w:bCs/>
          <w:sz w:val="24"/>
          <w:szCs w:val="24"/>
        </w:rPr>
      </w:pPr>
      <w:r w:rsidRPr="004C6116">
        <w:rPr>
          <w:rFonts w:ascii="仿宋_GB2312" w:eastAsia="仿宋_GB2312" w:hAnsi="宋体" w:cs="仿宋_GB2312" w:hint="eastAsia"/>
          <w:b/>
          <w:bCs/>
          <w:sz w:val="24"/>
          <w:szCs w:val="24"/>
        </w:rPr>
        <w:t>一等奖</w:t>
      </w:r>
    </w:p>
    <w:p w14:paraId="2139E7CE" w14:textId="77777777" w:rsidR="00D54F66" w:rsidRPr="004C6116" w:rsidRDefault="00012090" w:rsidP="004C6116">
      <w:pPr>
        <w:spacing w:line="360" w:lineRule="exact"/>
        <w:jc w:val="left"/>
        <w:rPr>
          <w:rFonts w:ascii="仿宋_GB2312" w:eastAsia="仿宋_GB2312" w:hAnsi="宋体" w:cs="仿宋_GB2312"/>
          <w:sz w:val="24"/>
          <w:szCs w:val="24"/>
        </w:rPr>
      </w:pPr>
      <w:r w:rsidRPr="004C6116">
        <w:rPr>
          <w:rFonts w:ascii="仿宋_GB2312" w:eastAsia="仿宋_GB2312" w:hAnsi="宋体" w:cs="仿宋_GB2312" w:hint="eastAsia"/>
          <w:sz w:val="24"/>
          <w:szCs w:val="24"/>
        </w:rPr>
        <w:t>《关于提升基层街道突发自然灾害应急响应能力的提案》</w:t>
      </w:r>
      <w:r w:rsidRPr="004C6116">
        <w:rPr>
          <w:rFonts w:ascii="仿宋_GB2312" w:eastAsia="仿宋_GB2312" w:hAnsi="宋体" w:cs="仿宋_GB2312" w:hint="eastAsia"/>
          <w:sz w:val="24"/>
          <w:szCs w:val="24"/>
        </w:rPr>
        <w:t>------</w:t>
      </w:r>
      <w:r w:rsidRPr="004C6116">
        <w:rPr>
          <w:rFonts w:ascii="仿宋_GB2312" w:eastAsia="仿宋_GB2312" w:hAnsi="宋体" w:cs="仿宋_GB2312" w:hint="eastAsia"/>
          <w:sz w:val="24"/>
          <w:szCs w:val="24"/>
        </w:rPr>
        <w:t>清华大学</w:t>
      </w:r>
    </w:p>
    <w:p w14:paraId="3568F2A2" w14:textId="77777777" w:rsidR="00D54F66" w:rsidRPr="004C6116" w:rsidRDefault="00012090" w:rsidP="004C6116">
      <w:pPr>
        <w:spacing w:line="360" w:lineRule="exact"/>
        <w:jc w:val="left"/>
        <w:rPr>
          <w:rFonts w:ascii="仿宋_GB2312" w:eastAsia="仿宋_GB2312" w:hAnsi="宋体" w:cs="仿宋_GB2312"/>
          <w:sz w:val="24"/>
          <w:szCs w:val="24"/>
        </w:rPr>
      </w:pPr>
      <w:r w:rsidRPr="004C6116">
        <w:rPr>
          <w:rFonts w:ascii="仿宋_GB2312" w:eastAsia="仿宋_GB2312" w:hAnsi="宋体" w:cs="仿宋_GB2312" w:hint="eastAsia"/>
          <w:sz w:val="24"/>
          <w:szCs w:val="24"/>
        </w:rPr>
        <w:t>《关于加强中国高海拔地区中小学生脊柱侧弯筛查的提案》</w:t>
      </w:r>
      <w:r w:rsidRPr="004C6116">
        <w:rPr>
          <w:rFonts w:ascii="仿宋_GB2312" w:eastAsia="仿宋_GB2312" w:hAnsi="宋体" w:cs="仿宋_GB2312" w:hint="eastAsia"/>
          <w:sz w:val="24"/>
          <w:szCs w:val="24"/>
        </w:rPr>
        <w:t>------</w:t>
      </w:r>
      <w:r w:rsidRPr="004C6116">
        <w:rPr>
          <w:rFonts w:ascii="仿宋_GB2312" w:eastAsia="仿宋_GB2312" w:hAnsi="宋体" w:cs="仿宋_GB2312" w:hint="eastAsia"/>
          <w:sz w:val="24"/>
          <w:szCs w:val="24"/>
        </w:rPr>
        <w:t>首都医科大学</w:t>
      </w:r>
      <w:r w:rsidRPr="004C6116">
        <w:rPr>
          <w:rFonts w:ascii="仿宋_GB2312" w:eastAsia="仿宋_GB2312" w:hAnsi="宋体" w:cs="仿宋_GB2312" w:hint="eastAsia"/>
          <w:sz w:val="24"/>
          <w:szCs w:val="24"/>
        </w:rPr>
        <w:tab/>
      </w:r>
    </w:p>
    <w:p w14:paraId="42DCFA7F" w14:textId="77777777" w:rsidR="00D54F66" w:rsidRPr="004C6116" w:rsidRDefault="00D54F66" w:rsidP="004C6116">
      <w:pPr>
        <w:spacing w:line="360" w:lineRule="exact"/>
        <w:jc w:val="left"/>
        <w:rPr>
          <w:rFonts w:ascii="仿宋_GB2312" w:eastAsia="仿宋_GB2312" w:hAnsi="宋体" w:cs="仿宋_GB2312"/>
          <w:sz w:val="24"/>
          <w:szCs w:val="24"/>
        </w:rPr>
      </w:pPr>
    </w:p>
    <w:p w14:paraId="3269FE81" w14:textId="77777777" w:rsidR="00D54F66" w:rsidRPr="004C6116" w:rsidRDefault="00012090" w:rsidP="004C6116">
      <w:pPr>
        <w:spacing w:line="360" w:lineRule="exact"/>
        <w:jc w:val="left"/>
        <w:rPr>
          <w:rFonts w:ascii="仿宋_GB2312" w:eastAsia="仿宋_GB2312" w:hAnsi="宋体" w:cs="仿宋_GB2312"/>
          <w:b/>
          <w:bCs/>
          <w:sz w:val="24"/>
          <w:szCs w:val="24"/>
        </w:rPr>
      </w:pPr>
      <w:r w:rsidRPr="004C6116">
        <w:rPr>
          <w:rFonts w:ascii="仿宋_GB2312" w:eastAsia="仿宋_GB2312" w:hAnsi="宋体" w:cs="仿宋_GB2312" w:hint="eastAsia"/>
          <w:b/>
          <w:bCs/>
          <w:sz w:val="24"/>
          <w:szCs w:val="24"/>
        </w:rPr>
        <w:t>二等奖</w:t>
      </w:r>
    </w:p>
    <w:p w14:paraId="2C90AC2A" w14:textId="77777777" w:rsidR="00D54F66" w:rsidRPr="004C6116" w:rsidRDefault="00012090" w:rsidP="004C6116">
      <w:pPr>
        <w:spacing w:line="360" w:lineRule="exact"/>
        <w:jc w:val="left"/>
        <w:rPr>
          <w:rFonts w:ascii="仿宋_GB2312" w:eastAsia="仿宋_GB2312" w:hAnsi="宋体" w:cs="仿宋_GB2312"/>
          <w:sz w:val="24"/>
          <w:szCs w:val="24"/>
        </w:rPr>
      </w:pPr>
      <w:r w:rsidRPr="004C6116">
        <w:rPr>
          <w:rFonts w:ascii="仿宋_GB2312" w:eastAsia="仿宋_GB2312" w:hAnsi="宋体" w:cs="仿宋_GB2312" w:hint="eastAsia"/>
          <w:sz w:val="24"/>
          <w:szCs w:val="24"/>
        </w:rPr>
        <w:t>《关于推动大学生志愿者服务社区行动纵深发展的提案》</w:t>
      </w:r>
      <w:r w:rsidRPr="004C6116">
        <w:rPr>
          <w:rFonts w:ascii="仿宋_GB2312" w:eastAsia="仿宋_GB2312" w:hAnsi="宋体" w:cs="仿宋_GB2312" w:hint="eastAsia"/>
          <w:sz w:val="24"/>
          <w:szCs w:val="24"/>
        </w:rPr>
        <w:t>------</w:t>
      </w:r>
      <w:r w:rsidRPr="004C6116">
        <w:rPr>
          <w:rFonts w:ascii="仿宋_GB2312" w:eastAsia="仿宋_GB2312" w:hAnsi="宋体" w:cs="仿宋_GB2312" w:hint="eastAsia"/>
          <w:sz w:val="24"/>
          <w:szCs w:val="24"/>
        </w:rPr>
        <w:t>东北大学</w:t>
      </w:r>
    </w:p>
    <w:p w14:paraId="68E79A35" w14:textId="77777777" w:rsidR="00D54F66" w:rsidRPr="004C6116" w:rsidRDefault="00012090" w:rsidP="004C6116">
      <w:pPr>
        <w:spacing w:line="360" w:lineRule="exact"/>
        <w:jc w:val="left"/>
        <w:rPr>
          <w:rFonts w:ascii="仿宋_GB2312" w:eastAsia="仿宋_GB2312" w:hAnsi="宋体" w:cs="仿宋_GB2312"/>
          <w:sz w:val="24"/>
          <w:szCs w:val="24"/>
        </w:rPr>
      </w:pPr>
      <w:r w:rsidRPr="004C6116">
        <w:rPr>
          <w:rFonts w:ascii="仿宋_GB2312" w:eastAsia="仿宋_GB2312" w:hAnsi="宋体" w:cs="仿宋_GB2312" w:hint="eastAsia"/>
          <w:sz w:val="24"/>
          <w:szCs w:val="24"/>
        </w:rPr>
        <w:t>《关于提升北京小众博物馆资源利用效率的提案》</w:t>
      </w:r>
      <w:r w:rsidRPr="004C6116">
        <w:rPr>
          <w:rFonts w:ascii="仿宋_GB2312" w:eastAsia="仿宋_GB2312" w:hAnsi="宋体" w:cs="仿宋_GB2312" w:hint="eastAsia"/>
          <w:sz w:val="24"/>
          <w:szCs w:val="24"/>
        </w:rPr>
        <w:t>------</w:t>
      </w:r>
      <w:r w:rsidRPr="004C6116">
        <w:rPr>
          <w:rFonts w:ascii="仿宋_GB2312" w:eastAsia="仿宋_GB2312" w:hAnsi="宋体" w:cs="仿宋_GB2312" w:hint="eastAsia"/>
          <w:sz w:val="24"/>
          <w:szCs w:val="24"/>
        </w:rPr>
        <w:t>中国人民大学</w:t>
      </w:r>
    </w:p>
    <w:p w14:paraId="231FC88D" w14:textId="77777777" w:rsidR="00D54F66" w:rsidRPr="004C6116" w:rsidRDefault="00012090" w:rsidP="004C6116">
      <w:pPr>
        <w:spacing w:line="360" w:lineRule="exact"/>
        <w:jc w:val="left"/>
        <w:rPr>
          <w:rFonts w:ascii="仿宋_GB2312" w:eastAsia="仿宋_GB2312" w:hAnsi="宋体" w:cs="仿宋_GB2312"/>
          <w:sz w:val="24"/>
          <w:szCs w:val="24"/>
        </w:rPr>
      </w:pPr>
      <w:r w:rsidRPr="004C6116">
        <w:rPr>
          <w:rFonts w:ascii="仿宋_GB2312" w:eastAsia="仿宋_GB2312" w:hAnsi="宋体" w:cs="仿宋_GB2312" w:hint="eastAsia"/>
          <w:sz w:val="24"/>
          <w:szCs w:val="24"/>
        </w:rPr>
        <w:t>《关于进一步重视和预防青少年抑郁症的提案》</w:t>
      </w:r>
      <w:r w:rsidRPr="004C6116">
        <w:rPr>
          <w:rFonts w:ascii="仿宋_GB2312" w:eastAsia="仿宋_GB2312" w:hAnsi="宋体" w:cs="仿宋_GB2312" w:hint="eastAsia"/>
          <w:sz w:val="24"/>
          <w:szCs w:val="24"/>
        </w:rPr>
        <w:t>------</w:t>
      </w:r>
      <w:r w:rsidRPr="004C6116">
        <w:rPr>
          <w:rFonts w:ascii="仿宋_GB2312" w:eastAsia="仿宋_GB2312" w:hAnsi="宋体" w:cs="仿宋_GB2312" w:hint="eastAsia"/>
          <w:sz w:val="24"/>
          <w:szCs w:val="24"/>
        </w:rPr>
        <w:t>北京交通大学</w:t>
      </w:r>
    </w:p>
    <w:p w14:paraId="3196072D" w14:textId="77777777" w:rsidR="00D54F66" w:rsidRPr="004C6116" w:rsidRDefault="00D54F66" w:rsidP="004C6116">
      <w:pPr>
        <w:spacing w:line="360" w:lineRule="exact"/>
        <w:jc w:val="left"/>
        <w:rPr>
          <w:rFonts w:ascii="仿宋_GB2312" w:eastAsia="仿宋_GB2312" w:hAnsi="宋体" w:cs="仿宋_GB2312"/>
          <w:sz w:val="24"/>
          <w:szCs w:val="24"/>
        </w:rPr>
      </w:pPr>
    </w:p>
    <w:p w14:paraId="672CF352" w14:textId="77777777" w:rsidR="00D54F66" w:rsidRPr="004C6116" w:rsidRDefault="00012090" w:rsidP="004C6116">
      <w:pPr>
        <w:spacing w:line="360" w:lineRule="exact"/>
        <w:jc w:val="left"/>
        <w:rPr>
          <w:rFonts w:ascii="仿宋_GB2312" w:eastAsia="仿宋_GB2312" w:hAnsi="宋体" w:cs="仿宋_GB2312"/>
          <w:b/>
          <w:bCs/>
          <w:sz w:val="24"/>
          <w:szCs w:val="24"/>
        </w:rPr>
      </w:pPr>
      <w:r w:rsidRPr="004C6116">
        <w:rPr>
          <w:rFonts w:ascii="仿宋_GB2312" w:eastAsia="仿宋_GB2312" w:hAnsi="宋体" w:cs="仿宋_GB2312" w:hint="eastAsia"/>
          <w:b/>
          <w:bCs/>
          <w:sz w:val="24"/>
          <w:szCs w:val="24"/>
        </w:rPr>
        <w:t>三等奖</w:t>
      </w:r>
    </w:p>
    <w:p w14:paraId="6708D9A7" w14:textId="77777777" w:rsidR="00D54F66" w:rsidRPr="004C6116" w:rsidRDefault="00012090" w:rsidP="004C6116">
      <w:pPr>
        <w:spacing w:line="360" w:lineRule="exact"/>
        <w:jc w:val="left"/>
        <w:rPr>
          <w:rFonts w:ascii="仿宋_GB2312" w:eastAsia="仿宋_GB2312" w:hAnsi="宋体" w:cs="仿宋_GB2312"/>
          <w:sz w:val="24"/>
          <w:szCs w:val="24"/>
        </w:rPr>
      </w:pPr>
      <w:r w:rsidRPr="004C6116">
        <w:rPr>
          <w:rFonts w:ascii="仿宋_GB2312" w:eastAsia="仿宋_GB2312" w:hAnsi="宋体" w:cs="仿宋_GB2312" w:hint="eastAsia"/>
          <w:sz w:val="24"/>
          <w:szCs w:val="24"/>
        </w:rPr>
        <w:t>《关于以校际体育赛事促进两岸青年融合发展的提案》</w:t>
      </w:r>
      <w:r w:rsidRPr="004C6116">
        <w:rPr>
          <w:rFonts w:ascii="仿宋_GB2312" w:eastAsia="仿宋_GB2312" w:hAnsi="宋体" w:cs="仿宋_GB2312" w:hint="eastAsia"/>
          <w:sz w:val="24"/>
          <w:szCs w:val="24"/>
        </w:rPr>
        <w:t>------</w:t>
      </w:r>
      <w:r w:rsidRPr="004C6116">
        <w:rPr>
          <w:rFonts w:ascii="仿宋_GB2312" w:eastAsia="仿宋_GB2312" w:hAnsi="宋体" w:cs="仿宋_GB2312" w:hint="eastAsia"/>
          <w:sz w:val="24"/>
          <w:szCs w:val="24"/>
        </w:rPr>
        <w:t>厦门大学</w:t>
      </w:r>
    </w:p>
    <w:p w14:paraId="7A5FC3EE" w14:textId="77777777" w:rsidR="00D54F66" w:rsidRPr="004C6116" w:rsidRDefault="00012090" w:rsidP="004C6116">
      <w:pPr>
        <w:spacing w:line="360" w:lineRule="exact"/>
        <w:jc w:val="left"/>
        <w:rPr>
          <w:rFonts w:ascii="仿宋_GB2312" w:eastAsia="仿宋_GB2312" w:hAnsi="宋体" w:cs="仿宋_GB2312"/>
          <w:sz w:val="24"/>
          <w:szCs w:val="24"/>
        </w:rPr>
      </w:pPr>
      <w:r w:rsidRPr="004C6116">
        <w:rPr>
          <w:rFonts w:ascii="仿宋_GB2312" w:eastAsia="仿宋_GB2312" w:hAnsi="宋体" w:cs="仿宋_GB2312" w:hint="eastAsia"/>
          <w:sz w:val="24"/>
          <w:szCs w:val="24"/>
        </w:rPr>
        <w:t>《关于推进预制菜产业健康发展的提案》</w:t>
      </w:r>
      <w:r w:rsidRPr="004C6116">
        <w:rPr>
          <w:rFonts w:ascii="仿宋_GB2312" w:eastAsia="仿宋_GB2312" w:hAnsi="宋体" w:cs="仿宋_GB2312" w:hint="eastAsia"/>
          <w:sz w:val="24"/>
          <w:szCs w:val="24"/>
        </w:rPr>
        <w:t>------</w:t>
      </w:r>
      <w:r w:rsidRPr="004C6116">
        <w:rPr>
          <w:rFonts w:ascii="仿宋_GB2312" w:eastAsia="仿宋_GB2312" w:hAnsi="宋体" w:cs="仿宋_GB2312" w:hint="eastAsia"/>
          <w:sz w:val="24"/>
          <w:szCs w:val="24"/>
        </w:rPr>
        <w:t>安徽师范大学</w:t>
      </w:r>
    </w:p>
    <w:p w14:paraId="16AB251A" w14:textId="77777777" w:rsidR="00D54F66" w:rsidRPr="004C6116" w:rsidRDefault="00012090" w:rsidP="004C6116">
      <w:pPr>
        <w:spacing w:line="360" w:lineRule="exact"/>
        <w:jc w:val="left"/>
        <w:rPr>
          <w:rFonts w:ascii="仿宋_GB2312" w:eastAsia="仿宋_GB2312" w:hAnsi="宋体" w:cs="仿宋_GB2312"/>
          <w:sz w:val="24"/>
          <w:szCs w:val="24"/>
        </w:rPr>
      </w:pPr>
      <w:r w:rsidRPr="004C6116">
        <w:rPr>
          <w:rFonts w:ascii="仿宋_GB2312" w:eastAsia="仿宋_GB2312" w:hAnsi="宋体" w:cs="仿宋_GB2312" w:hint="eastAsia"/>
          <w:sz w:val="24"/>
          <w:szCs w:val="24"/>
        </w:rPr>
        <w:t>《关于防止利用</w:t>
      </w:r>
      <w:r w:rsidRPr="004C6116">
        <w:rPr>
          <w:rFonts w:ascii="仿宋_GB2312" w:eastAsia="仿宋_GB2312" w:hAnsi="宋体" w:cs="仿宋_GB2312" w:hint="eastAsia"/>
          <w:sz w:val="24"/>
          <w:szCs w:val="24"/>
        </w:rPr>
        <w:t>A1</w:t>
      </w:r>
      <w:r w:rsidRPr="004C6116">
        <w:rPr>
          <w:rFonts w:ascii="仿宋_GB2312" w:eastAsia="仿宋_GB2312" w:hAnsi="宋体" w:cs="仿宋_GB2312" w:hint="eastAsia"/>
          <w:sz w:val="24"/>
          <w:szCs w:val="24"/>
        </w:rPr>
        <w:t>拟声换脸诈骗的提案》</w:t>
      </w:r>
      <w:r w:rsidRPr="004C6116">
        <w:rPr>
          <w:rFonts w:ascii="仿宋_GB2312" w:eastAsia="仿宋_GB2312" w:hAnsi="宋体" w:cs="仿宋_GB2312" w:hint="eastAsia"/>
          <w:sz w:val="24"/>
          <w:szCs w:val="24"/>
        </w:rPr>
        <w:t>------</w:t>
      </w:r>
      <w:r w:rsidRPr="004C6116">
        <w:rPr>
          <w:rFonts w:ascii="仿宋_GB2312" w:eastAsia="仿宋_GB2312" w:hAnsi="宋体" w:cs="仿宋_GB2312" w:hint="eastAsia"/>
          <w:sz w:val="24"/>
          <w:szCs w:val="24"/>
        </w:rPr>
        <w:t>北京语言大学</w:t>
      </w:r>
    </w:p>
    <w:p w14:paraId="0688998C" w14:textId="77777777" w:rsidR="00D54F66" w:rsidRPr="004C6116" w:rsidRDefault="00012090" w:rsidP="004C6116">
      <w:pPr>
        <w:spacing w:line="360" w:lineRule="exact"/>
        <w:jc w:val="left"/>
        <w:rPr>
          <w:rFonts w:ascii="仿宋_GB2312" w:eastAsia="仿宋_GB2312" w:hAnsi="宋体" w:cs="仿宋_GB2312"/>
          <w:sz w:val="24"/>
          <w:szCs w:val="24"/>
        </w:rPr>
      </w:pPr>
      <w:r w:rsidRPr="004C6116">
        <w:rPr>
          <w:rFonts w:ascii="仿宋_GB2312" w:eastAsia="仿宋_GB2312" w:hAnsi="宋体" w:cs="仿宋_GB2312" w:hint="eastAsia"/>
          <w:sz w:val="24"/>
          <w:szCs w:val="24"/>
        </w:rPr>
        <w:t>《关于夯实涉农高校“一懂两爱”人才培养质量的提案》</w:t>
      </w:r>
      <w:r w:rsidRPr="004C6116">
        <w:rPr>
          <w:rFonts w:ascii="仿宋_GB2312" w:eastAsia="仿宋_GB2312" w:hAnsi="宋体" w:cs="仿宋_GB2312" w:hint="eastAsia"/>
          <w:sz w:val="24"/>
          <w:szCs w:val="24"/>
        </w:rPr>
        <w:t>------</w:t>
      </w:r>
      <w:r w:rsidRPr="004C6116">
        <w:rPr>
          <w:rFonts w:ascii="仿宋_GB2312" w:eastAsia="仿宋_GB2312" w:hAnsi="宋体" w:cs="仿宋_GB2312" w:hint="eastAsia"/>
          <w:sz w:val="24"/>
          <w:szCs w:val="24"/>
        </w:rPr>
        <w:t>山东农业大学</w:t>
      </w:r>
    </w:p>
    <w:p w14:paraId="2D54930B" w14:textId="77777777" w:rsidR="00D54F66" w:rsidRPr="004C6116" w:rsidRDefault="00012090" w:rsidP="004C6116">
      <w:pPr>
        <w:spacing w:line="360" w:lineRule="exact"/>
        <w:jc w:val="left"/>
        <w:rPr>
          <w:rFonts w:ascii="仿宋_GB2312" w:eastAsia="仿宋_GB2312" w:hAnsi="宋体" w:cs="仿宋_GB2312"/>
          <w:sz w:val="24"/>
          <w:szCs w:val="24"/>
        </w:rPr>
      </w:pPr>
      <w:r w:rsidRPr="004C6116">
        <w:rPr>
          <w:rFonts w:ascii="仿宋_GB2312" w:eastAsia="仿宋_GB2312" w:hAnsi="宋体" w:cs="仿宋_GB2312" w:hint="eastAsia"/>
          <w:sz w:val="24"/>
          <w:szCs w:val="24"/>
        </w:rPr>
        <w:t>《关于我国在天文学领域强化青少年教育的提案》</w:t>
      </w:r>
      <w:r w:rsidRPr="004C6116">
        <w:rPr>
          <w:rFonts w:ascii="仿宋_GB2312" w:eastAsia="仿宋_GB2312" w:hAnsi="宋体" w:cs="仿宋_GB2312" w:hint="eastAsia"/>
          <w:sz w:val="24"/>
          <w:szCs w:val="24"/>
        </w:rPr>
        <w:t>------</w:t>
      </w:r>
      <w:r w:rsidRPr="004C6116">
        <w:rPr>
          <w:rFonts w:ascii="仿宋_GB2312" w:eastAsia="仿宋_GB2312" w:hAnsi="宋体" w:cs="仿宋_GB2312" w:hint="eastAsia"/>
          <w:sz w:val="24"/>
          <w:szCs w:val="24"/>
        </w:rPr>
        <w:t>北京工商大学</w:t>
      </w:r>
    </w:p>
    <w:p w14:paraId="7C03C927" w14:textId="77777777" w:rsidR="00D54F66" w:rsidRPr="004C6116" w:rsidRDefault="00D54F66" w:rsidP="004C6116">
      <w:pPr>
        <w:spacing w:line="360" w:lineRule="exact"/>
        <w:jc w:val="left"/>
        <w:rPr>
          <w:rFonts w:ascii="仿宋_GB2312" w:eastAsia="仿宋_GB2312" w:hAnsi="宋体" w:cs="仿宋_GB2312"/>
          <w:sz w:val="24"/>
          <w:szCs w:val="24"/>
        </w:rPr>
      </w:pPr>
    </w:p>
    <w:p w14:paraId="5DD47DAB" w14:textId="77777777" w:rsidR="00D54F66" w:rsidRPr="004C6116" w:rsidRDefault="00012090" w:rsidP="004C6116">
      <w:pPr>
        <w:spacing w:line="360" w:lineRule="exact"/>
        <w:jc w:val="left"/>
        <w:rPr>
          <w:rFonts w:ascii="仿宋_GB2312" w:eastAsia="仿宋_GB2312" w:hAnsi="宋体" w:cs="仿宋_GB2312"/>
          <w:b/>
          <w:bCs/>
          <w:sz w:val="24"/>
          <w:szCs w:val="24"/>
        </w:rPr>
      </w:pPr>
      <w:r w:rsidRPr="004C6116">
        <w:rPr>
          <w:rFonts w:ascii="仿宋_GB2312" w:eastAsia="仿宋_GB2312" w:hAnsi="宋体" w:cs="仿宋_GB2312" w:hint="eastAsia"/>
          <w:b/>
          <w:bCs/>
          <w:sz w:val="24"/>
          <w:szCs w:val="24"/>
        </w:rPr>
        <w:t>社会影响力奖</w:t>
      </w:r>
    </w:p>
    <w:p w14:paraId="4637A164" w14:textId="77777777" w:rsidR="00D54F66" w:rsidRPr="004C6116" w:rsidRDefault="00012090" w:rsidP="004C6116">
      <w:pPr>
        <w:spacing w:line="360" w:lineRule="exact"/>
        <w:jc w:val="left"/>
        <w:rPr>
          <w:rFonts w:ascii="仿宋_GB2312" w:eastAsia="仿宋_GB2312" w:hAnsi="宋体" w:cs="仿宋_GB2312"/>
          <w:sz w:val="24"/>
          <w:szCs w:val="24"/>
        </w:rPr>
      </w:pPr>
      <w:r w:rsidRPr="004C6116">
        <w:rPr>
          <w:rFonts w:ascii="仿宋_GB2312" w:eastAsia="仿宋_GB2312" w:hAnsi="宋体" w:cs="仿宋_GB2312" w:hint="eastAsia"/>
          <w:sz w:val="24"/>
          <w:szCs w:val="24"/>
        </w:rPr>
        <w:t>《关于提升社区未成年人心理辅导平台质效的提案》</w:t>
      </w:r>
      <w:r w:rsidRPr="004C6116">
        <w:rPr>
          <w:rFonts w:ascii="仿宋_GB2312" w:eastAsia="仿宋_GB2312" w:hAnsi="宋体" w:cs="仿宋_GB2312" w:hint="eastAsia"/>
          <w:sz w:val="24"/>
          <w:szCs w:val="24"/>
        </w:rPr>
        <w:t>-----</w:t>
      </w:r>
      <w:r w:rsidRPr="004C6116">
        <w:rPr>
          <w:rFonts w:ascii="仿宋_GB2312" w:eastAsia="仿宋_GB2312" w:hAnsi="宋体" w:cs="仿宋_GB2312" w:hint="eastAsia"/>
          <w:sz w:val="24"/>
          <w:szCs w:val="24"/>
        </w:rPr>
        <w:t>吉林大学</w:t>
      </w:r>
    </w:p>
    <w:p w14:paraId="5F3755DD" w14:textId="77777777" w:rsidR="00D54F66" w:rsidRPr="004C6116" w:rsidRDefault="00012090" w:rsidP="004C6116">
      <w:pPr>
        <w:spacing w:line="360" w:lineRule="exact"/>
        <w:jc w:val="left"/>
        <w:rPr>
          <w:rFonts w:ascii="仿宋_GB2312" w:eastAsia="仿宋_GB2312" w:hAnsi="宋体" w:cs="仿宋_GB2312"/>
          <w:sz w:val="24"/>
          <w:szCs w:val="24"/>
        </w:rPr>
      </w:pPr>
      <w:r w:rsidRPr="004C6116">
        <w:rPr>
          <w:rFonts w:ascii="仿宋_GB2312" w:eastAsia="仿宋_GB2312" w:hAnsi="宋体" w:cs="仿宋_GB2312" w:hint="eastAsia"/>
          <w:sz w:val="24"/>
          <w:szCs w:val="24"/>
        </w:rPr>
        <w:t>《关于推动电商助农规范化的提议》</w:t>
      </w:r>
      <w:r w:rsidRPr="004C6116">
        <w:rPr>
          <w:rFonts w:ascii="仿宋_GB2312" w:eastAsia="仿宋_GB2312" w:hAnsi="宋体" w:cs="仿宋_GB2312" w:hint="eastAsia"/>
          <w:sz w:val="24"/>
          <w:szCs w:val="24"/>
        </w:rPr>
        <w:t>------</w:t>
      </w:r>
      <w:r w:rsidRPr="004C6116">
        <w:rPr>
          <w:rFonts w:ascii="仿宋_GB2312" w:eastAsia="仿宋_GB2312" w:hAnsi="宋体" w:cs="仿宋_GB2312" w:hint="eastAsia"/>
          <w:sz w:val="24"/>
          <w:szCs w:val="24"/>
        </w:rPr>
        <w:t>北京邮电大学</w:t>
      </w:r>
    </w:p>
    <w:p w14:paraId="68E5E5A3" w14:textId="77777777" w:rsidR="00D54F66" w:rsidRPr="004C6116" w:rsidRDefault="00012090" w:rsidP="004C6116">
      <w:pPr>
        <w:spacing w:line="360" w:lineRule="exact"/>
        <w:jc w:val="left"/>
        <w:rPr>
          <w:rFonts w:ascii="仿宋_GB2312" w:eastAsia="仿宋_GB2312" w:hAnsi="宋体" w:cs="仿宋_GB2312"/>
          <w:sz w:val="24"/>
          <w:szCs w:val="24"/>
        </w:rPr>
      </w:pPr>
      <w:r w:rsidRPr="004C6116">
        <w:rPr>
          <w:rFonts w:ascii="仿宋_GB2312" w:eastAsia="仿宋_GB2312" w:hAnsi="宋体" w:cs="仿宋_GB2312" w:hint="eastAsia"/>
          <w:sz w:val="24"/>
          <w:szCs w:val="24"/>
        </w:rPr>
        <w:t>《关于防止利用</w:t>
      </w:r>
      <w:r w:rsidRPr="004C6116">
        <w:rPr>
          <w:rFonts w:ascii="仿宋_GB2312" w:eastAsia="仿宋_GB2312" w:hAnsi="宋体" w:cs="仿宋_GB2312" w:hint="eastAsia"/>
          <w:sz w:val="24"/>
          <w:szCs w:val="24"/>
        </w:rPr>
        <w:t>AI</w:t>
      </w:r>
      <w:r w:rsidRPr="004C6116">
        <w:rPr>
          <w:rFonts w:ascii="仿宋_GB2312" w:eastAsia="仿宋_GB2312" w:hAnsi="宋体" w:cs="仿宋_GB2312" w:hint="eastAsia"/>
          <w:sz w:val="24"/>
          <w:szCs w:val="24"/>
        </w:rPr>
        <w:t>拟声换脸诈骗的提案》</w:t>
      </w:r>
      <w:r w:rsidRPr="004C6116">
        <w:rPr>
          <w:rFonts w:ascii="仿宋_GB2312" w:eastAsia="仿宋_GB2312" w:hAnsi="宋体" w:cs="仿宋_GB2312" w:hint="eastAsia"/>
          <w:sz w:val="24"/>
          <w:szCs w:val="24"/>
        </w:rPr>
        <w:t>------</w:t>
      </w:r>
      <w:r w:rsidRPr="004C6116">
        <w:rPr>
          <w:rFonts w:ascii="仿宋_GB2312" w:eastAsia="仿宋_GB2312" w:hAnsi="宋体" w:cs="仿宋_GB2312" w:hint="eastAsia"/>
          <w:sz w:val="24"/>
          <w:szCs w:val="24"/>
        </w:rPr>
        <w:t>北京语言大学</w:t>
      </w:r>
    </w:p>
    <w:p w14:paraId="56A77CB3" w14:textId="77777777" w:rsidR="00D54F66" w:rsidRPr="004C6116" w:rsidRDefault="00012090" w:rsidP="004C6116">
      <w:pPr>
        <w:spacing w:line="360" w:lineRule="exact"/>
        <w:jc w:val="left"/>
        <w:rPr>
          <w:rFonts w:ascii="仿宋_GB2312" w:eastAsia="仿宋_GB2312" w:hAnsi="宋体" w:cs="仿宋_GB2312"/>
          <w:sz w:val="24"/>
          <w:szCs w:val="24"/>
        </w:rPr>
      </w:pPr>
      <w:r w:rsidRPr="004C6116">
        <w:rPr>
          <w:rFonts w:ascii="仿宋_GB2312" w:eastAsia="仿宋_GB2312" w:hAnsi="宋体" w:cs="仿宋_GB2312" w:hint="eastAsia"/>
          <w:sz w:val="24"/>
          <w:szCs w:val="24"/>
        </w:rPr>
        <w:t>《关于夯实涉农高校“一懂两爱”人才培养质量的建议》</w:t>
      </w:r>
      <w:r w:rsidRPr="004C6116">
        <w:rPr>
          <w:rFonts w:ascii="仿宋_GB2312" w:eastAsia="仿宋_GB2312" w:hAnsi="宋体" w:cs="仿宋_GB2312" w:hint="eastAsia"/>
          <w:sz w:val="24"/>
          <w:szCs w:val="24"/>
        </w:rPr>
        <w:t>------</w:t>
      </w:r>
      <w:r w:rsidRPr="004C6116">
        <w:rPr>
          <w:rFonts w:ascii="仿宋_GB2312" w:eastAsia="仿宋_GB2312" w:hAnsi="宋体" w:cs="仿宋_GB2312" w:hint="eastAsia"/>
          <w:sz w:val="24"/>
          <w:szCs w:val="24"/>
        </w:rPr>
        <w:t>山东农业大学</w:t>
      </w:r>
    </w:p>
    <w:p w14:paraId="7267BABD" w14:textId="77777777" w:rsidR="00D54F66" w:rsidRPr="004C6116" w:rsidRDefault="00012090" w:rsidP="004C6116">
      <w:pPr>
        <w:spacing w:line="360" w:lineRule="exact"/>
        <w:jc w:val="left"/>
        <w:rPr>
          <w:rFonts w:ascii="仿宋_GB2312" w:eastAsia="仿宋_GB2312" w:hAnsi="宋体" w:cs="仿宋_GB2312"/>
          <w:sz w:val="24"/>
          <w:szCs w:val="24"/>
        </w:rPr>
      </w:pPr>
      <w:r w:rsidRPr="004C6116">
        <w:rPr>
          <w:rFonts w:ascii="仿宋_GB2312" w:eastAsia="仿宋_GB2312" w:hAnsi="宋体" w:cs="仿宋_GB2312" w:hint="eastAsia"/>
          <w:sz w:val="24"/>
          <w:szCs w:val="24"/>
        </w:rPr>
        <w:t>《关于防治易地搬迁地区留守儿童手机成瘾的提案》</w:t>
      </w:r>
      <w:r w:rsidRPr="004C6116">
        <w:rPr>
          <w:rFonts w:ascii="仿宋_GB2312" w:eastAsia="仿宋_GB2312" w:hAnsi="宋体" w:cs="仿宋_GB2312" w:hint="eastAsia"/>
          <w:sz w:val="24"/>
          <w:szCs w:val="24"/>
        </w:rPr>
        <w:t>------</w:t>
      </w:r>
      <w:r w:rsidRPr="004C6116">
        <w:rPr>
          <w:rFonts w:ascii="仿宋_GB2312" w:eastAsia="仿宋_GB2312" w:hAnsi="宋体" w:cs="仿宋_GB2312" w:hint="eastAsia"/>
          <w:sz w:val="24"/>
          <w:szCs w:val="24"/>
        </w:rPr>
        <w:t>云南师范大学</w:t>
      </w:r>
    </w:p>
    <w:p w14:paraId="363BE439" w14:textId="77777777" w:rsidR="00D54F66" w:rsidRPr="004C6116" w:rsidRDefault="00012090" w:rsidP="004C6116">
      <w:pPr>
        <w:spacing w:line="360" w:lineRule="exact"/>
        <w:jc w:val="left"/>
        <w:rPr>
          <w:rFonts w:ascii="仿宋_GB2312" w:eastAsia="仿宋_GB2312" w:hAnsi="宋体" w:cs="仿宋_GB2312"/>
          <w:sz w:val="24"/>
          <w:szCs w:val="24"/>
        </w:rPr>
      </w:pPr>
      <w:proofErr w:type="gramStart"/>
      <w:r w:rsidRPr="004C6116">
        <w:rPr>
          <w:rFonts w:ascii="仿宋_GB2312" w:eastAsia="仿宋_GB2312" w:hAnsi="宋体" w:cs="仿宋_GB2312" w:hint="eastAsia"/>
          <w:sz w:val="24"/>
          <w:szCs w:val="24"/>
        </w:rPr>
        <w:t>《</w:t>
      </w:r>
      <w:proofErr w:type="gramEnd"/>
      <w:r w:rsidRPr="004C6116">
        <w:rPr>
          <w:rFonts w:ascii="仿宋_GB2312" w:eastAsia="仿宋_GB2312" w:hAnsi="宋体" w:cs="仿宋_GB2312" w:hint="eastAsia"/>
          <w:sz w:val="24"/>
          <w:szCs w:val="24"/>
        </w:rPr>
        <w:t>关于加强高海拔地区渔业资源保护与可持续开发，巩固脱贫攻坚成果</w:t>
      </w:r>
    </w:p>
    <w:p w14:paraId="1073CB17" w14:textId="77777777" w:rsidR="00D54F66" w:rsidRPr="004C6116" w:rsidRDefault="00012090" w:rsidP="004C6116">
      <w:pPr>
        <w:spacing w:line="360" w:lineRule="exact"/>
        <w:jc w:val="left"/>
        <w:rPr>
          <w:rFonts w:ascii="仿宋_GB2312" w:eastAsia="仿宋_GB2312" w:hAnsi="宋体" w:cs="仿宋_GB2312"/>
          <w:sz w:val="24"/>
          <w:szCs w:val="24"/>
        </w:rPr>
      </w:pPr>
      <w:r w:rsidRPr="004C6116">
        <w:rPr>
          <w:rFonts w:ascii="仿宋_GB2312" w:eastAsia="仿宋_GB2312" w:hAnsi="宋体" w:cs="仿宋_GB2312" w:hint="eastAsia"/>
          <w:sz w:val="24"/>
          <w:szCs w:val="24"/>
        </w:rPr>
        <w:t>助力乡村振兴的提案</w:t>
      </w:r>
      <w:proofErr w:type="gramStart"/>
      <w:r w:rsidRPr="004C6116">
        <w:rPr>
          <w:rFonts w:ascii="仿宋_GB2312" w:eastAsia="仿宋_GB2312" w:hAnsi="宋体" w:cs="仿宋_GB2312" w:hint="eastAsia"/>
          <w:sz w:val="24"/>
          <w:szCs w:val="24"/>
        </w:rPr>
        <w:t>》</w:t>
      </w:r>
      <w:proofErr w:type="gramEnd"/>
      <w:r w:rsidRPr="004C6116">
        <w:rPr>
          <w:rFonts w:ascii="仿宋_GB2312" w:eastAsia="仿宋_GB2312" w:hAnsi="宋体" w:cs="仿宋_GB2312" w:hint="eastAsia"/>
          <w:sz w:val="24"/>
          <w:szCs w:val="24"/>
        </w:rPr>
        <w:t>------</w:t>
      </w:r>
      <w:r w:rsidRPr="004C6116">
        <w:rPr>
          <w:rFonts w:ascii="仿宋_GB2312" w:eastAsia="仿宋_GB2312" w:hAnsi="宋体" w:cs="仿宋_GB2312" w:hint="eastAsia"/>
          <w:sz w:val="24"/>
          <w:szCs w:val="24"/>
        </w:rPr>
        <w:t>中国海洋大学</w:t>
      </w:r>
    </w:p>
    <w:p w14:paraId="2E438914" w14:textId="77777777" w:rsidR="00D54F66" w:rsidRPr="004C6116" w:rsidRDefault="00012090" w:rsidP="004C6116">
      <w:pPr>
        <w:spacing w:line="360" w:lineRule="exact"/>
        <w:jc w:val="left"/>
        <w:rPr>
          <w:rFonts w:ascii="仿宋_GB2312" w:eastAsia="仿宋_GB2312" w:hAnsi="宋体" w:cs="仿宋_GB2312"/>
          <w:sz w:val="24"/>
          <w:szCs w:val="24"/>
        </w:rPr>
      </w:pPr>
      <w:r w:rsidRPr="004C6116">
        <w:rPr>
          <w:rFonts w:ascii="仿宋_GB2312" w:eastAsia="仿宋_GB2312" w:hAnsi="宋体" w:cs="仿宋_GB2312" w:hint="eastAsia"/>
          <w:sz w:val="24"/>
          <w:szCs w:val="24"/>
        </w:rPr>
        <w:t>《关于新时代下推进临沂非物质文化遗产创新发展的提案》</w:t>
      </w:r>
      <w:r w:rsidRPr="004C6116">
        <w:rPr>
          <w:rFonts w:ascii="仿宋_GB2312" w:eastAsia="仿宋_GB2312" w:hAnsi="宋体" w:cs="仿宋_GB2312" w:hint="eastAsia"/>
          <w:sz w:val="24"/>
          <w:szCs w:val="24"/>
        </w:rPr>
        <w:t>------</w:t>
      </w:r>
      <w:r w:rsidRPr="004C6116">
        <w:rPr>
          <w:rFonts w:ascii="仿宋_GB2312" w:eastAsia="仿宋_GB2312" w:hAnsi="宋体" w:cs="仿宋_GB2312" w:hint="eastAsia"/>
          <w:sz w:val="24"/>
          <w:szCs w:val="24"/>
        </w:rPr>
        <w:t>上海对外经贸大学</w:t>
      </w:r>
    </w:p>
    <w:p w14:paraId="4542F085" w14:textId="77777777" w:rsidR="00D54F66" w:rsidRPr="004C6116" w:rsidRDefault="00012090" w:rsidP="004C6116">
      <w:pPr>
        <w:spacing w:line="360" w:lineRule="exact"/>
        <w:jc w:val="left"/>
        <w:rPr>
          <w:rFonts w:ascii="仿宋_GB2312" w:eastAsia="仿宋_GB2312" w:hAnsi="宋体" w:cs="仿宋_GB2312"/>
          <w:sz w:val="24"/>
          <w:szCs w:val="24"/>
        </w:rPr>
      </w:pPr>
      <w:r w:rsidRPr="004C6116">
        <w:rPr>
          <w:rFonts w:ascii="仿宋_GB2312" w:eastAsia="仿宋_GB2312" w:hAnsi="宋体" w:cs="仿宋_GB2312" w:hint="eastAsia"/>
          <w:sz w:val="24"/>
          <w:szCs w:val="24"/>
        </w:rPr>
        <w:t>《关于严格落实网络实名制促进网络暴力治理的提案》</w:t>
      </w:r>
      <w:r w:rsidRPr="004C6116">
        <w:rPr>
          <w:rFonts w:ascii="仿宋_GB2312" w:eastAsia="仿宋_GB2312" w:hAnsi="宋体" w:cs="仿宋_GB2312" w:hint="eastAsia"/>
          <w:sz w:val="24"/>
          <w:szCs w:val="24"/>
        </w:rPr>
        <w:t>------</w:t>
      </w:r>
      <w:r w:rsidRPr="004C6116">
        <w:rPr>
          <w:rFonts w:ascii="仿宋_GB2312" w:eastAsia="仿宋_GB2312" w:hAnsi="宋体" w:cs="仿宋_GB2312" w:hint="eastAsia"/>
          <w:sz w:val="24"/>
          <w:szCs w:val="24"/>
        </w:rPr>
        <w:t>北京工商大学</w:t>
      </w:r>
    </w:p>
    <w:p w14:paraId="244CE46D" w14:textId="77777777" w:rsidR="00D54F66" w:rsidRPr="004C6116" w:rsidRDefault="00012090" w:rsidP="004C6116">
      <w:pPr>
        <w:spacing w:line="360" w:lineRule="exact"/>
        <w:jc w:val="left"/>
        <w:rPr>
          <w:rFonts w:ascii="仿宋_GB2312" w:eastAsia="仿宋_GB2312" w:hAnsi="宋体" w:cs="仿宋_GB2312"/>
          <w:sz w:val="24"/>
          <w:szCs w:val="24"/>
        </w:rPr>
      </w:pPr>
      <w:r w:rsidRPr="004C6116">
        <w:rPr>
          <w:rFonts w:ascii="仿宋_GB2312" w:eastAsia="仿宋_GB2312" w:hAnsi="宋体" w:cs="仿宋_GB2312" w:hint="eastAsia"/>
          <w:sz w:val="24"/>
          <w:szCs w:val="24"/>
        </w:rPr>
        <w:t>《关于提高高校校园对外开放程度、推进公共资源合理配置的提案》</w:t>
      </w:r>
      <w:r w:rsidRPr="004C6116">
        <w:rPr>
          <w:rFonts w:ascii="仿宋_GB2312" w:eastAsia="仿宋_GB2312" w:hAnsi="宋体" w:cs="仿宋_GB2312" w:hint="eastAsia"/>
          <w:sz w:val="24"/>
          <w:szCs w:val="24"/>
        </w:rPr>
        <w:t>------</w:t>
      </w:r>
      <w:r w:rsidRPr="004C6116">
        <w:rPr>
          <w:rFonts w:ascii="仿宋_GB2312" w:eastAsia="仿宋_GB2312" w:hAnsi="宋体" w:cs="仿宋_GB2312" w:hint="eastAsia"/>
          <w:sz w:val="24"/>
          <w:szCs w:val="24"/>
        </w:rPr>
        <w:t>中南</w:t>
      </w:r>
      <w:proofErr w:type="gramStart"/>
      <w:r w:rsidRPr="004C6116">
        <w:rPr>
          <w:rFonts w:ascii="仿宋_GB2312" w:eastAsia="仿宋_GB2312" w:hAnsi="宋体" w:cs="仿宋_GB2312" w:hint="eastAsia"/>
          <w:sz w:val="24"/>
          <w:szCs w:val="24"/>
        </w:rPr>
        <w:t>财经政法</w:t>
      </w:r>
      <w:proofErr w:type="gramEnd"/>
      <w:r w:rsidRPr="004C6116">
        <w:rPr>
          <w:rFonts w:ascii="仿宋_GB2312" w:eastAsia="仿宋_GB2312" w:hAnsi="宋体" w:cs="仿宋_GB2312" w:hint="eastAsia"/>
          <w:sz w:val="24"/>
          <w:szCs w:val="24"/>
        </w:rPr>
        <w:t>大学</w:t>
      </w:r>
    </w:p>
    <w:p w14:paraId="3411FCE1" w14:textId="77777777" w:rsidR="00D54F66" w:rsidRPr="004C6116" w:rsidRDefault="00012090" w:rsidP="004C6116">
      <w:pPr>
        <w:spacing w:line="360" w:lineRule="exact"/>
        <w:jc w:val="left"/>
        <w:rPr>
          <w:rFonts w:ascii="仿宋_GB2312" w:eastAsia="仿宋_GB2312" w:hAnsi="宋体" w:cs="仿宋_GB2312"/>
          <w:sz w:val="24"/>
          <w:szCs w:val="24"/>
        </w:rPr>
      </w:pPr>
      <w:r w:rsidRPr="004C6116">
        <w:rPr>
          <w:rFonts w:ascii="仿宋_GB2312" w:eastAsia="仿宋_GB2312" w:hAnsi="宋体" w:cs="仿宋_GB2312" w:hint="eastAsia"/>
          <w:sz w:val="24"/>
          <w:szCs w:val="24"/>
        </w:rPr>
        <w:t>《关于加强中小学生消防安全宣传教育的提案》</w:t>
      </w:r>
      <w:r w:rsidRPr="004C6116">
        <w:rPr>
          <w:rFonts w:ascii="仿宋_GB2312" w:eastAsia="仿宋_GB2312" w:hAnsi="宋体" w:cs="仿宋_GB2312" w:hint="eastAsia"/>
          <w:sz w:val="24"/>
          <w:szCs w:val="24"/>
        </w:rPr>
        <w:t>------</w:t>
      </w:r>
      <w:r w:rsidRPr="004C6116">
        <w:rPr>
          <w:rFonts w:ascii="仿宋_GB2312" w:eastAsia="仿宋_GB2312" w:hAnsi="宋体" w:cs="仿宋_GB2312" w:hint="eastAsia"/>
          <w:sz w:val="24"/>
          <w:szCs w:val="24"/>
        </w:rPr>
        <w:t>中国消防救援学院</w:t>
      </w:r>
    </w:p>
    <w:bookmarkEnd w:id="0"/>
    <w:p w14:paraId="2306B221" w14:textId="77777777" w:rsidR="004C6116" w:rsidRDefault="004C6116" w:rsidP="004C6116">
      <w:pPr>
        <w:tabs>
          <w:tab w:val="left" w:pos="4455"/>
        </w:tabs>
        <w:spacing w:line="360" w:lineRule="exact"/>
        <w:sectPr w:rsidR="004C6116">
          <w:pgSz w:w="11906" w:h="16838"/>
          <w:pgMar w:top="1440" w:right="1800" w:bottom="1440" w:left="1800" w:header="851" w:footer="992" w:gutter="0"/>
          <w:cols w:space="425"/>
          <w:docGrid w:type="lines" w:linePitch="312"/>
        </w:sectPr>
      </w:pPr>
    </w:p>
    <w:p w14:paraId="6FEE818E" w14:textId="77777777" w:rsidR="00D54F66" w:rsidRDefault="00012090" w:rsidP="004C6116">
      <w:pPr>
        <w:spacing w:line="360" w:lineRule="exact"/>
        <w:rPr>
          <w:rFonts w:ascii="仿宋_GB2312" w:eastAsia="仿宋_GB2312" w:hAnsi="宋体" w:cs="仿宋_GB2312"/>
          <w:b/>
          <w:bCs/>
          <w:sz w:val="28"/>
          <w:szCs w:val="28"/>
        </w:rPr>
      </w:pPr>
      <w:r>
        <w:rPr>
          <w:rFonts w:ascii="仿宋_GB2312" w:eastAsia="仿宋_GB2312" w:hAnsi="宋体" w:cs="仿宋_GB2312" w:hint="eastAsia"/>
          <w:b/>
          <w:bCs/>
          <w:sz w:val="28"/>
          <w:szCs w:val="28"/>
        </w:rPr>
        <w:lastRenderedPageBreak/>
        <w:t>二、范例参考</w:t>
      </w:r>
    </w:p>
    <w:p w14:paraId="4EBFB1F9" w14:textId="77777777" w:rsidR="00D54F66" w:rsidRDefault="00012090" w:rsidP="004C6116">
      <w:pPr>
        <w:spacing w:line="360" w:lineRule="exact"/>
        <w:jc w:val="left"/>
        <w:rPr>
          <w:rFonts w:ascii="仿宋_GB2312" w:eastAsia="仿宋_GB2312" w:hAnsi="宋体" w:cs="仿宋_GB2312"/>
          <w:b/>
          <w:bCs/>
          <w:sz w:val="24"/>
          <w:szCs w:val="24"/>
        </w:rPr>
      </w:pPr>
      <w:r>
        <w:rPr>
          <w:rFonts w:ascii="仿宋_GB2312" w:eastAsia="仿宋_GB2312" w:hAnsi="宋体" w:cs="仿宋_GB2312" w:hint="eastAsia"/>
          <w:b/>
          <w:bCs/>
          <w:sz w:val="24"/>
          <w:szCs w:val="24"/>
        </w:rPr>
        <w:t>范例</w:t>
      </w:r>
      <w:proofErr w:type="gramStart"/>
      <w:r>
        <w:rPr>
          <w:rFonts w:ascii="仿宋_GB2312" w:eastAsia="仿宋_GB2312" w:hAnsi="宋体" w:cs="仿宋_GB2312" w:hint="eastAsia"/>
          <w:b/>
          <w:bCs/>
          <w:sz w:val="24"/>
          <w:szCs w:val="24"/>
        </w:rPr>
        <w:t>一</w:t>
      </w:r>
      <w:proofErr w:type="gramEnd"/>
      <w:r>
        <w:rPr>
          <w:rFonts w:ascii="仿宋_GB2312" w:eastAsia="仿宋_GB2312" w:hAnsi="宋体" w:cs="仿宋_GB2312" w:hint="eastAsia"/>
          <w:b/>
          <w:bCs/>
          <w:sz w:val="24"/>
          <w:szCs w:val="24"/>
        </w:rPr>
        <w:t>：《关于推动大学生志愿者服务社区行动纵深发展的提案》</w:t>
      </w:r>
    </w:p>
    <w:p w14:paraId="433A221D" w14:textId="77777777" w:rsidR="00D54F66" w:rsidRDefault="00012090" w:rsidP="004C6116">
      <w:pPr>
        <w:spacing w:line="360" w:lineRule="exact"/>
        <w:jc w:val="left"/>
        <w:rPr>
          <w:rFonts w:ascii="仿宋_GB2312" w:eastAsia="仿宋_GB2312" w:hAnsi="宋体" w:cs="仿宋_GB2312"/>
          <w:sz w:val="24"/>
          <w:szCs w:val="24"/>
        </w:rPr>
      </w:pPr>
      <w:r>
        <w:rPr>
          <w:rFonts w:ascii="仿宋_GB2312" w:eastAsia="仿宋_GB2312" w:hAnsi="宋体" w:cs="仿宋_GB2312" w:hint="eastAsia"/>
          <w:sz w:val="24"/>
          <w:szCs w:val="24"/>
        </w:rPr>
        <w:t>背景与问题</w:t>
      </w:r>
    </w:p>
    <w:p w14:paraId="28AE6C22"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近年来，大学生志愿者服务社区行动探索了“三全育人”理念下的新时代高校德育</w:t>
      </w:r>
      <w:proofErr w:type="gramStart"/>
      <w:r>
        <w:rPr>
          <w:rFonts w:ascii="仿宋_GB2312" w:eastAsia="仿宋_GB2312" w:hAnsi="宋体" w:cs="仿宋_GB2312" w:hint="eastAsia"/>
          <w:sz w:val="24"/>
          <w:szCs w:val="24"/>
        </w:rPr>
        <w:t>劳</w:t>
      </w:r>
      <w:proofErr w:type="gramEnd"/>
      <w:r>
        <w:rPr>
          <w:rFonts w:ascii="仿宋_GB2312" w:eastAsia="仿宋_GB2312" w:hAnsi="宋体" w:cs="仿宋_GB2312" w:hint="eastAsia"/>
          <w:sz w:val="24"/>
          <w:szCs w:val="24"/>
        </w:rPr>
        <w:t>育的新模式，推动了智慧社区宜居家园建设的高质量发展，促进了社会的和谐健康发展。然而，当下大学生参与社区志愿服务仍存</w:t>
      </w:r>
      <w:r>
        <w:rPr>
          <w:rFonts w:ascii="仿宋_GB2312" w:eastAsia="仿宋_GB2312" w:hAnsi="宋体" w:cs="仿宋_GB2312" w:hint="eastAsia"/>
          <w:sz w:val="24"/>
          <w:szCs w:val="24"/>
        </w:rPr>
        <w:t>在时代价值挖掘不充分，制度保障、组织体系和实施细则构建不全面等问题。</w:t>
      </w:r>
    </w:p>
    <w:p w14:paraId="2C3C2BEB" w14:textId="77777777" w:rsidR="00D54F66" w:rsidRDefault="00012090" w:rsidP="004C6116">
      <w:pPr>
        <w:spacing w:line="360" w:lineRule="exact"/>
        <w:jc w:val="left"/>
        <w:rPr>
          <w:rFonts w:ascii="仿宋_GB2312" w:eastAsia="仿宋_GB2312" w:hAnsi="宋体" w:cs="仿宋_GB2312"/>
          <w:sz w:val="24"/>
          <w:szCs w:val="24"/>
        </w:rPr>
      </w:pPr>
      <w:r>
        <w:rPr>
          <w:rFonts w:ascii="仿宋_GB2312" w:eastAsia="仿宋_GB2312" w:hAnsi="宋体" w:cs="仿宋_GB2312" w:hint="eastAsia"/>
          <w:sz w:val="24"/>
          <w:szCs w:val="24"/>
        </w:rPr>
        <w:t>原因分析</w:t>
      </w:r>
    </w:p>
    <w:p w14:paraId="5D88500D"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一是社区高校合作基础薄弱。高校为志愿者赴社区开展服务活动提供</w:t>
      </w:r>
      <w:proofErr w:type="gramStart"/>
      <w:r>
        <w:rPr>
          <w:rFonts w:ascii="仿宋_GB2312" w:eastAsia="仿宋_GB2312" w:hAnsi="宋体" w:cs="仿宋_GB2312" w:hint="eastAsia"/>
          <w:sz w:val="24"/>
          <w:szCs w:val="24"/>
        </w:rPr>
        <w:t>给人员</w:t>
      </w:r>
      <w:proofErr w:type="gramEnd"/>
      <w:r>
        <w:rPr>
          <w:rFonts w:ascii="仿宋_GB2312" w:eastAsia="仿宋_GB2312" w:hAnsi="宋体" w:cs="仿宋_GB2312" w:hint="eastAsia"/>
          <w:sz w:val="24"/>
          <w:szCs w:val="24"/>
        </w:rPr>
        <w:t>等方面的支持，但是社区热情不高，对大学生志愿服务活动在社区治理方面的积极作用认识不到位，甚至认为是在帮大学生们完成任务。这样的局面往往导致高校和大学生志愿者的热情受到挫伤，深度合作的基础薄弱。</w:t>
      </w:r>
    </w:p>
    <w:p w14:paraId="0AA59DCD"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二是志愿行动的育人效果有待提升。大学生志愿者前往社区开展志愿服务的活动内容多集中在打扫公共区域卫生这样简单、基本的体力工作方面，与思想教育、专业学习、兴趣特长、能力拓展等内</w:t>
      </w:r>
      <w:r>
        <w:rPr>
          <w:rFonts w:ascii="仿宋_GB2312" w:eastAsia="仿宋_GB2312" w:hAnsi="宋体" w:cs="仿宋_GB2312" w:hint="eastAsia"/>
          <w:sz w:val="24"/>
          <w:szCs w:val="24"/>
        </w:rPr>
        <w:t>容相去甚远。大学生志愿者们在完成活动后，思想认识、能力养成等方面的收获较小，获得感、成就感不足，对活动的热情被削减，行动的</w:t>
      </w:r>
      <w:proofErr w:type="gramStart"/>
      <w:r>
        <w:rPr>
          <w:rFonts w:ascii="仿宋_GB2312" w:eastAsia="仿宋_GB2312" w:hAnsi="宋体" w:cs="仿宋_GB2312" w:hint="eastAsia"/>
          <w:sz w:val="24"/>
          <w:szCs w:val="24"/>
        </w:rPr>
        <w:t>育人潜力</w:t>
      </w:r>
      <w:proofErr w:type="gramEnd"/>
      <w:r>
        <w:rPr>
          <w:rFonts w:ascii="仿宋_GB2312" w:eastAsia="仿宋_GB2312" w:hAnsi="宋体" w:cs="仿宋_GB2312" w:hint="eastAsia"/>
          <w:sz w:val="24"/>
          <w:szCs w:val="24"/>
        </w:rPr>
        <w:t>发挥不足。</w:t>
      </w:r>
    </w:p>
    <w:p w14:paraId="40B7BE08"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三是志愿服务保障力度有待加强。由于高校周边社区需求不旺、对接志愿者饱和等原因，有些高校只能选择离学校较远的社区开展定点志愿服务活动。这样的现状给志愿者开展常态化志愿服务活动带来不便，往返社区的交通费用补贴问题成为大学生志愿者普遍关心的话题。除交通费用外，志愿者前往社区服务过程中的保险、餐补等费用也备受大学生的关注。</w:t>
      </w:r>
    </w:p>
    <w:p w14:paraId="68776CA1"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四是专业化培养体系尚未形成。关于社区志愿服务的有关内容，不同高校针对大学生志愿者的培养方式各有特色，有的学校开设志愿服务类课程，有的学校组织志愿者听取讲座报告，但是开展专门的实用技能培训较少。专业化培养体系尚未形成的局面，一方面导致志愿者体会不到参与志愿服务活动对自己的实际价值，另一方面导致志愿者能力欠缺的现状难以改变，当社区提出相对专业化的志愿活动需求时，符合技能要求的志愿者人数不足。</w:t>
      </w:r>
    </w:p>
    <w:p w14:paraId="13BDDDBB" w14:textId="77777777" w:rsidR="00D54F66" w:rsidRDefault="00012090" w:rsidP="004C6116">
      <w:pPr>
        <w:spacing w:line="360" w:lineRule="exact"/>
        <w:jc w:val="left"/>
        <w:rPr>
          <w:rFonts w:ascii="仿宋_GB2312" w:eastAsia="仿宋_GB2312" w:hAnsi="宋体" w:cs="仿宋_GB2312"/>
          <w:sz w:val="24"/>
          <w:szCs w:val="24"/>
        </w:rPr>
      </w:pPr>
      <w:r>
        <w:rPr>
          <w:rFonts w:ascii="仿宋_GB2312" w:eastAsia="仿宋_GB2312" w:hAnsi="宋体" w:cs="仿宋_GB2312" w:hint="eastAsia"/>
          <w:sz w:val="24"/>
          <w:szCs w:val="24"/>
        </w:rPr>
        <w:t>建议</w:t>
      </w:r>
    </w:p>
    <w:p w14:paraId="7BEBA00C"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一、用好制度工具，突出社区的主导地位一是激发社区主体能动性。进一步明确社区在行动中的位置、职责、权限和任务，并力争</w:t>
      </w:r>
      <w:r>
        <w:rPr>
          <w:rFonts w:ascii="仿宋_GB2312" w:eastAsia="仿宋_GB2312" w:hAnsi="宋体" w:cs="仿宋_GB2312" w:hint="eastAsia"/>
          <w:sz w:val="24"/>
          <w:szCs w:val="24"/>
        </w:rPr>
        <w:t>将行动纳入社区党组织的重点工作清单和考核清单，形成社区主导、高校配合、大学生志愿者参与、社区居民受益的生动局面，最终推动社区治理水平、文明程度和居民生活满意度“三提升”。二是建立社区与高校定期沟通机制。社区将新的需求信息递送高校，沟通说明目标任务，明确责任分工，共同做好项目统筹规划等工作，提升工作效率。此外，也为寻找新的志愿服务内容提供更多可能。</w:t>
      </w:r>
    </w:p>
    <w:p w14:paraId="76356461"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二、抓好重点环节，彰显志愿服务活动</w:t>
      </w:r>
      <w:proofErr w:type="gramStart"/>
      <w:r>
        <w:rPr>
          <w:rFonts w:ascii="仿宋_GB2312" w:eastAsia="仿宋_GB2312" w:hAnsi="宋体" w:cs="仿宋_GB2312" w:hint="eastAsia"/>
          <w:sz w:val="24"/>
          <w:szCs w:val="24"/>
        </w:rPr>
        <w:t>育人成效一</w:t>
      </w:r>
      <w:proofErr w:type="gramEnd"/>
      <w:r>
        <w:rPr>
          <w:rFonts w:ascii="仿宋_GB2312" w:eastAsia="仿宋_GB2312" w:hAnsi="宋体" w:cs="仿宋_GB2312" w:hint="eastAsia"/>
          <w:sz w:val="24"/>
          <w:szCs w:val="24"/>
        </w:rPr>
        <w:t>是行动深度融入社区治理大格局和高校立德树人大格局，能够切实服务社区发展和居民幸福感增强、</w:t>
      </w:r>
      <w:r>
        <w:rPr>
          <w:rFonts w:ascii="仿宋_GB2312" w:eastAsia="仿宋_GB2312" w:hAnsi="宋体" w:cs="仿宋_GB2312" w:hint="eastAsia"/>
          <w:sz w:val="24"/>
          <w:szCs w:val="24"/>
        </w:rPr>
        <w:lastRenderedPageBreak/>
        <w:t>切实服务大学生思想认识成长和综</w:t>
      </w:r>
      <w:r>
        <w:rPr>
          <w:rFonts w:ascii="仿宋_GB2312" w:eastAsia="仿宋_GB2312" w:hAnsi="宋体" w:cs="仿宋_GB2312" w:hint="eastAsia"/>
          <w:sz w:val="24"/>
          <w:szCs w:val="24"/>
        </w:rPr>
        <w:t>合能力提升。坚持问题导向，以社区居民和社区工作所需寻找切入点，设计志愿服务活动载体。深挖大学生志愿者服务社区行动的时代价值，充分发挥志愿服务活动的隐性教育功能。二是加强宣传工作，做好先进典型的表彰激励，构建宣传激励大格局，吸引更多大学生了解、参与、热爱大学生志愿者服务社区行动，走进实践育人的广阔舞台。</w:t>
      </w:r>
    </w:p>
    <w:p w14:paraId="43A5F9A9"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三、做好服务保障，解除大学生志愿者后顾之忧一是指导高校建立一支较为成熟、稳定的志愿服务工作队伍和较为稳定的大学生志愿者服务队伍，为服务项目和服务团队配备专门的指导教师。建议增加经费支持、完善工作条件。二是指导</w:t>
      </w:r>
      <w:r>
        <w:rPr>
          <w:rFonts w:ascii="仿宋_GB2312" w:eastAsia="仿宋_GB2312" w:hAnsi="宋体" w:cs="仿宋_GB2312" w:hint="eastAsia"/>
          <w:sz w:val="24"/>
          <w:szCs w:val="24"/>
        </w:rPr>
        <w:t>社区为志愿者提供工作所需的装备设备、工作场所，确保志愿者能够安全、便捷地开展工作。三是指导高校和社区注意做好志愿者合法权益维护工作，避免志愿者在服务过程中受到身心伤害。</w:t>
      </w:r>
    </w:p>
    <w:p w14:paraId="1C306136"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四、建好培养体系，推动服务能力适配社区需求一是指导高校以志愿服务社区行动时代价值为重点，做好大学生思想教育。引导大学生志愿者在活动过程中自主探索个人在思想认识方面的提升。二是指导高校以志愿服务政策、沟通技巧、礼仪礼节、办公技能为重点开展志愿者培训，使志愿者更好适应社区工作场景。三是指导社区以安全完成任务为重点，加强对大学生志愿者的岗位培训。</w:t>
      </w:r>
      <w:r>
        <w:rPr>
          <w:rFonts w:ascii="仿宋_GB2312" w:eastAsia="仿宋_GB2312" w:hAnsi="宋体" w:cs="仿宋_GB2312" w:hint="eastAsia"/>
          <w:sz w:val="24"/>
          <w:szCs w:val="24"/>
        </w:rPr>
        <w:t>明确工作目标、工作内容、工作标准、时限要求、工作纪律，特别是要做好安全教育和风险提示。四是建议指导并支持高校、社区以专项能力提升为重点，携手社会专业机构开展专项技能培训，如紧急救援、消防演练、心理疏导等，确保志愿者具备相应技能，以便顺利完成社区给定的任务。</w:t>
      </w:r>
    </w:p>
    <w:p w14:paraId="71D040EE" w14:textId="77777777" w:rsidR="00D54F66" w:rsidRDefault="00D54F66" w:rsidP="004C6116">
      <w:pPr>
        <w:spacing w:line="360" w:lineRule="exact"/>
        <w:jc w:val="left"/>
        <w:rPr>
          <w:rFonts w:ascii="仿宋_GB2312" w:eastAsia="仿宋_GB2312" w:hAnsi="宋体" w:cs="仿宋_GB2312"/>
          <w:sz w:val="24"/>
          <w:szCs w:val="24"/>
        </w:rPr>
      </w:pPr>
    </w:p>
    <w:p w14:paraId="13998642" w14:textId="77777777" w:rsidR="00D54F66" w:rsidRDefault="00D54F66" w:rsidP="004C6116">
      <w:pPr>
        <w:spacing w:line="360" w:lineRule="exact"/>
        <w:jc w:val="left"/>
        <w:rPr>
          <w:rFonts w:ascii="仿宋_GB2312" w:eastAsia="仿宋_GB2312" w:hAnsi="宋体" w:cs="仿宋_GB2312"/>
          <w:sz w:val="24"/>
          <w:szCs w:val="24"/>
        </w:rPr>
      </w:pPr>
    </w:p>
    <w:p w14:paraId="41A09BF0" w14:textId="77777777" w:rsidR="00D54F66" w:rsidRDefault="00012090" w:rsidP="004C6116">
      <w:pPr>
        <w:spacing w:line="360" w:lineRule="exact"/>
        <w:jc w:val="left"/>
        <w:rPr>
          <w:rFonts w:ascii="仿宋_GB2312" w:eastAsia="仿宋_GB2312" w:hAnsi="宋体" w:cs="仿宋_GB2312"/>
          <w:b/>
          <w:bCs/>
          <w:sz w:val="24"/>
          <w:szCs w:val="24"/>
        </w:rPr>
      </w:pPr>
      <w:r>
        <w:rPr>
          <w:rFonts w:ascii="仿宋_GB2312" w:eastAsia="仿宋_GB2312" w:hAnsi="宋体" w:cs="仿宋_GB2312" w:hint="eastAsia"/>
          <w:b/>
          <w:bCs/>
          <w:sz w:val="24"/>
          <w:szCs w:val="24"/>
        </w:rPr>
        <w:t>范例二：《关于提升北京小众博物馆资源利用效率的提案》</w:t>
      </w:r>
    </w:p>
    <w:p w14:paraId="453E1BC5" w14:textId="77777777" w:rsidR="00D54F66" w:rsidRDefault="00012090" w:rsidP="004C6116">
      <w:pPr>
        <w:spacing w:line="360" w:lineRule="exact"/>
        <w:jc w:val="left"/>
        <w:rPr>
          <w:rFonts w:ascii="仿宋_GB2312" w:eastAsia="仿宋_GB2312" w:hAnsi="宋体" w:cs="仿宋_GB2312"/>
          <w:sz w:val="24"/>
          <w:szCs w:val="24"/>
        </w:rPr>
      </w:pPr>
      <w:r>
        <w:rPr>
          <w:rFonts w:ascii="仿宋_GB2312" w:eastAsia="仿宋_GB2312" w:hAnsi="宋体" w:cs="仿宋_GB2312" w:hint="eastAsia"/>
          <w:sz w:val="24"/>
          <w:szCs w:val="24"/>
        </w:rPr>
        <w:t>问题与分析</w:t>
      </w:r>
    </w:p>
    <w:p w14:paraId="5DAB1675"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博物馆是展现一个国家、一个民族历史文化艺术成果的重要窗口。进入新时代，党和国家对博物馆建设发展提出新要求。习近平总书记指出，要发挥好博物馆保护、传承、研究、展示人类文明的重要作用，守护</w:t>
      </w:r>
      <w:r>
        <w:rPr>
          <w:rFonts w:ascii="仿宋_GB2312" w:eastAsia="仿宋_GB2312" w:hAnsi="宋体" w:cs="仿宋_GB2312" w:hint="eastAsia"/>
          <w:sz w:val="24"/>
          <w:szCs w:val="24"/>
        </w:rPr>
        <w:t>好中华文脉，并让文物活起来，扩大中华文化的影响力。</w:t>
      </w:r>
    </w:p>
    <w:p w14:paraId="7299129C"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北京历史悠久、人文底蕴深厚，拥有丰富的博物馆资源。今年</w:t>
      </w:r>
      <w:r>
        <w:rPr>
          <w:rFonts w:ascii="仿宋_GB2312" w:eastAsia="仿宋_GB2312" w:hAnsi="宋体" w:cs="仿宋_GB2312" w:hint="eastAsia"/>
          <w:sz w:val="24"/>
          <w:szCs w:val="24"/>
        </w:rPr>
        <w:t>2</w:t>
      </w:r>
      <w:r>
        <w:rPr>
          <w:rFonts w:ascii="仿宋_GB2312" w:eastAsia="仿宋_GB2312" w:hAnsi="宋体" w:cs="仿宋_GB2312" w:hint="eastAsia"/>
          <w:sz w:val="24"/>
          <w:szCs w:val="24"/>
        </w:rPr>
        <w:t>月出台的《北京博物馆之城建设发展规划（</w:t>
      </w:r>
      <w:r>
        <w:rPr>
          <w:rFonts w:ascii="仿宋_GB2312" w:eastAsia="仿宋_GB2312" w:hAnsi="宋体" w:cs="仿宋_GB2312" w:hint="eastAsia"/>
          <w:sz w:val="24"/>
          <w:szCs w:val="24"/>
        </w:rPr>
        <w:t>2023-2035</w:t>
      </w:r>
      <w:r>
        <w:rPr>
          <w:rFonts w:ascii="仿宋_GB2312" w:eastAsia="仿宋_GB2312" w:hAnsi="宋体" w:cs="仿宋_GB2312" w:hint="eastAsia"/>
          <w:sz w:val="24"/>
          <w:szCs w:val="24"/>
        </w:rPr>
        <w:t>）》强调要将北京建设为高品质的“博物馆之城”，形成布局合理、结构优化、内容丰富、特色鲜明的城市博物馆体系，培育</w:t>
      </w:r>
      <w:r>
        <w:rPr>
          <w:rFonts w:ascii="仿宋_GB2312" w:eastAsia="仿宋_GB2312" w:hAnsi="宋体" w:cs="仿宋_GB2312" w:hint="eastAsia"/>
          <w:sz w:val="24"/>
          <w:szCs w:val="24"/>
        </w:rPr>
        <w:t>100</w:t>
      </w:r>
      <w:r>
        <w:rPr>
          <w:rFonts w:ascii="仿宋_GB2312" w:eastAsia="仿宋_GB2312" w:hAnsi="宋体" w:cs="仿宋_GB2312" w:hint="eastAsia"/>
          <w:sz w:val="24"/>
          <w:szCs w:val="24"/>
        </w:rPr>
        <w:t>家“小而美”博物馆。近年来，北京博物馆建设有序推进，但也出现了热门博物馆一票难求、部分博物馆门可罗雀的情况，且在节假日尤为明显。这导致小众博物馆的馆藏资源难以得到系统有效的利用。</w:t>
      </w:r>
    </w:p>
    <w:p w14:paraId="6F98884C"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根据对国家文物局公开的</w:t>
      </w:r>
      <w:r>
        <w:rPr>
          <w:rFonts w:ascii="仿宋_GB2312" w:eastAsia="仿宋_GB2312" w:hAnsi="宋体" w:cs="仿宋_GB2312" w:hint="eastAsia"/>
          <w:sz w:val="24"/>
          <w:szCs w:val="24"/>
        </w:rPr>
        <w:t>2019</w:t>
      </w:r>
      <w:r>
        <w:rPr>
          <w:rFonts w:ascii="仿宋_GB2312" w:eastAsia="仿宋_GB2312" w:hAnsi="宋体" w:cs="仿宋_GB2312" w:hint="eastAsia"/>
          <w:sz w:val="24"/>
          <w:szCs w:val="24"/>
        </w:rPr>
        <w:t>年度全国博物馆名录中的</w:t>
      </w:r>
      <w:r>
        <w:rPr>
          <w:rFonts w:ascii="仿宋_GB2312" w:eastAsia="仿宋_GB2312" w:hAnsi="宋体" w:cs="仿宋_GB2312" w:hint="eastAsia"/>
          <w:sz w:val="24"/>
          <w:szCs w:val="24"/>
        </w:rPr>
        <w:t>157</w:t>
      </w:r>
      <w:r>
        <w:rPr>
          <w:rFonts w:ascii="仿宋_GB2312" w:eastAsia="仿宋_GB2312" w:hAnsi="宋体" w:cs="仿宋_GB2312" w:hint="eastAsia"/>
          <w:sz w:val="24"/>
          <w:szCs w:val="24"/>
        </w:rPr>
        <w:t>家北京博物馆的线上调研和部分小众博物馆的线下调研，发现小众博物馆在资源利用方面还存在如下问题：</w:t>
      </w:r>
    </w:p>
    <w:p w14:paraId="2A1E3BBC"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第一，线上宣传与平台建设尚待推进。小众博物馆</w:t>
      </w:r>
      <w:proofErr w:type="gramStart"/>
      <w:r>
        <w:rPr>
          <w:rFonts w:ascii="仿宋_GB2312" w:eastAsia="仿宋_GB2312" w:hAnsi="宋体" w:cs="仿宋_GB2312" w:hint="eastAsia"/>
          <w:sz w:val="24"/>
          <w:szCs w:val="24"/>
        </w:rPr>
        <w:t>在官网和</w:t>
      </w:r>
      <w:proofErr w:type="gramEnd"/>
      <w:r>
        <w:rPr>
          <w:rFonts w:ascii="仿宋_GB2312" w:eastAsia="仿宋_GB2312" w:hAnsi="宋体" w:cs="仿宋_GB2312" w:hint="eastAsia"/>
          <w:sz w:val="24"/>
          <w:szCs w:val="24"/>
        </w:rPr>
        <w:t>社交媒体的开</w:t>
      </w:r>
      <w:r>
        <w:rPr>
          <w:rFonts w:ascii="仿宋_GB2312" w:eastAsia="仿宋_GB2312" w:hAnsi="宋体" w:cs="仿宋_GB2312" w:hint="eastAsia"/>
          <w:sz w:val="24"/>
          <w:szCs w:val="24"/>
        </w:rPr>
        <w:lastRenderedPageBreak/>
        <w:t>设、更新维护方面仍与热门博物馆有一定的距离。调研数据显示，小众博物馆和热门博物馆</w:t>
      </w:r>
      <w:proofErr w:type="gramStart"/>
      <w:r>
        <w:rPr>
          <w:rFonts w:ascii="仿宋_GB2312" w:eastAsia="仿宋_GB2312" w:hAnsi="宋体" w:cs="仿宋_GB2312" w:hint="eastAsia"/>
          <w:sz w:val="24"/>
          <w:szCs w:val="24"/>
        </w:rPr>
        <w:t>开设官网的</w:t>
      </w:r>
      <w:proofErr w:type="gramEnd"/>
      <w:r>
        <w:rPr>
          <w:rFonts w:ascii="仿宋_GB2312" w:eastAsia="仿宋_GB2312" w:hAnsi="宋体" w:cs="仿宋_GB2312" w:hint="eastAsia"/>
          <w:sz w:val="24"/>
          <w:szCs w:val="24"/>
        </w:rPr>
        <w:t>占比分别为</w:t>
      </w:r>
      <w:r>
        <w:rPr>
          <w:rFonts w:ascii="仿宋_GB2312" w:eastAsia="仿宋_GB2312" w:hAnsi="宋体" w:cs="仿宋_GB2312" w:hint="eastAsia"/>
          <w:sz w:val="24"/>
          <w:szCs w:val="24"/>
        </w:rPr>
        <w:t>39.39%</w:t>
      </w:r>
      <w:r>
        <w:rPr>
          <w:rFonts w:ascii="仿宋_GB2312" w:eastAsia="仿宋_GB2312" w:hAnsi="宋体" w:cs="仿宋_GB2312" w:hint="eastAsia"/>
          <w:sz w:val="24"/>
          <w:szCs w:val="24"/>
        </w:rPr>
        <w:t>和</w:t>
      </w:r>
      <w:r>
        <w:rPr>
          <w:rFonts w:ascii="仿宋_GB2312" w:eastAsia="仿宋_GB2312" w:hAnsi="宋体" w:cs="仿宋_GB2312" w:hint="eastAsia"/>
          <w:sz w:val="24"/>
          <w:szCs w:val="24"/>
        </w:rPr>
        <w:t>66.67%</w:t>
      </w:r>
      <w:r>
        <w:rPr>
          <w:rFonts w:ascii="仿宋_GB2312" w:eastAsia="仿宋_GB2312" w:hAnsi="宋体" w:cs="仿宋_GB2312" w:hint="eastAsia"/>
          <w:sz w:val="24"/>
          <w:szCs w:val="24"/>
        </w:rPr>
        <w:t>，</w:t>
      </w:r>
      <w:proofErr w:type="gramStart"/>
      <w:r>
        <w:rPr>
          <w:rFonts w:ascii="仿宋_GB2312" w:eastAsia="仿宋_GB2312" w:hAnsi="宋体" w:cs="仿宋_GB2312" w:hint="eastAsia"/>
          <w:sz w:val="24"/>
          <w:szCs w:val="24"/>
        </w:rPr>
        <w:t>其中官网能</w:t>
      </w:r>
      <w:proofErr w:type="gramEnd"/>
      <w:r>
        <w:rPr>
          <w:rFonts w:ascii="仿宋_GB2312" w:eastAsia="仿宋_GB2312" w:hAnsi="宋体" w:cs="仿宋_GB2312" w:hint="eastAsia"/>
          <w:sz w:val="24"/>
          <w:szCs w:val="24"/>
        </w:rPr>
        <w:t>被正常浏览且在</w:t>
      </w:r>
      <w:r>
        <w:rPr>
          <w:rFonts w:ascii="仿宋_GB2312" w:eastAsia="仿宋_GB2312" w:hAnsi="宋体" w:cs="仿宋_GB2312" w:hint="eastAsia"/>
          <w:sz w:val="24"/>
          <w:szCs w:val="24"/>
        </w:rPr>
        <w:t>2023</w:t>
      </w:r>
      <w:r>
        <w:rPr>
          <w:rFonts w:ascii="仿宋_GB2312" w:eastAsia="仿宋_GB2312" w:hAnsi="宋体" w:cs="仿宋_GB2312" w:hint="eastAsia"/>
          <w:sz w:val="24"/>
          <w:szCs w:val="24"/>
        </w:rPr>
        <w:t>年有更新的占比分别占前者的</w:t>
      </w:r>
      <w:r>
        <w:rPr>
          <w:rFonts w:ascii="仿宋_GB2312" w:eastAsia="仿宋_GB2312" w:hAnsi="宋体" w:cs="仿宋_GB2312" w:hint="eastAsia"/>
          <w:sz w:val="24"/>
          <w:szCs w:val="24"/>
        </w:rPr>
        <w:t>65.38%</w:t>
      </w:r>
      <w:r>
        <w:rPr>
          <w:rFonts w:ascii="仿宋_GB2312" w:eastAsia="仿宋_GB2312" w:hAnsi="宋体" w:cs="仿宋_GB2312" w:hint="eastAsia"/>
          <w:sz w:val="24"/>
          <w:szCs w:val="24"/>
        </w:rPr>
        <w:t>和后者的</w:t>
      </w:r>
      <w:r>
        <w:rPr>
          <w:rFonts w:ascii="仿宋_GB2312" w:eastAsia="仿宋_GB2312" w:hAnsi="宋体" w:cs="仿宋_GB2312" w:hint="eastAsia"/>
          <w:sz w:val="24"/>
          <w:szCs w:val="24"/>
        </w:rPr>
        <w:t>86.36%</w:t>
      </w:r>
      <w:r>
        <w:rPr>
          <w:rFonts w:ascii="仿宋_GB2312" w:eastAsia="仿宋_GB2312" w:hAnsi="宋体" w:cs="仿宋_GB2312" w:hint="eastAsia"/>
          <w:sz w:val="24"/>
          <w:szCs w:val="24"/>
        </w:rPr>
        <w:t>；同样，热门博物馆开设</w:t>
      </w:r>
      <w:proofErr w:type="gramStart"/>
      <w:r>
        <w:rPr>
          <w:rFonts w:ascii="仿宋_GB2312" w:eastAsia="仿宋_GB2312" w:hAnsi="宋体" w:cs="仿宋_GB2312" w:hint="eastAsia"/>
          <w:sz w:val="24"/>
          <w:szCs w:val="24"/>
        </w:rPr>
        <w:t>微信公众号</w:t>
      </w:r>
      <w:proofErr w:type="gramEnd"/>
      <w:r>
        <w:rPr>
          <w:rFonts w:ascii="仿宋_GB2312" w:eastAsia="仿宋_GB2312" w:hAnsi="宋体" w:cs="仿宋_GB2312" w:hint="eastAsia"/>
          <w:sz w:val="24"/>
          <w:szCs w:val="24"/>
        </w:rPr>
        <w:t>和社交媒体账号的占比也远高于小众博物馆。这反映出小众博物馆在线上宣传与平台建设方面存在不足。</w:t>
      </w:r>
    </w:p>
    <w:p w14:paraId="0C8A76F0"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第二，参观信息明晰度与线上预约机制有待完善。部分小众博物馆预约方式不够准确明晰，少数博物馆不支持线上预约。</w:t>
      </w:r>
      <w:proofErr w:type="gramStart"/>
      <w:r>
        <w:rPr>
          <w:rFonts w:ascii="仿宋_GB2312" w:eastAsia="仿宋_GB2312" w:hAnsi="宋体" w:cs="仿宋_GB2312" w:hint="eastAsia"/>
          <w:sz w:val="24"/>
          <w:szCs w:val="24"/>
        </w:rPr>
        <w:t>微信公众号</w:t>
      </w:r>
      <w:proofErr w:type="gramEnd"/>
      <w:r>
        <w:rPr>
          <w:rFonts w:ascii="仿宋_GB2312" w:eastAsia="仿宋_GB2312" w:hAnsi="宋体" w:cs="仿宋_GB2312" w:hint="eastAsia"/>
          <w:sz w:val="24"/>
          <w:szCs w:val="24"/>
        </w:rPr>
        <w:t>“北京文博”（北京市博物馆统一参观预约平台）未对北京所有博物馆的预约渠道实现全覆盖，且在更新部分博物馆预约资讯方面存在延迟或误差。此外，部分博物馆未开设线上预约渠道，这或对民众选择是否参观产生影响。</w:t>
      </w:r>
    </w:p>
    <w:p w14:paraId="76801565"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第三，展览吸引力仍需提升。内容上，部分博物馆所设展览的受</w:t>
      </w:r>
      <w:proofErr w:type="gramStart"/>
      <w:r>
        <w:rPr>
          <w:rFonts w:ascii="仿宋_GB2312" w:eastAsia="仿宋_GB2312" w:hAnsi="宋体" w:cs="仿宋_GB2312" w:hint="eastAsia"/>
          <w:sz w:val="24"/>
          <w:szCs w:val="24"/>
        </w:rPr>
        <w:t>众范围</w:t>
      </w:r>
      <w:proofErr w:type="gramEnd"/>
      <w:r>
        <w:rPr>
          <w:rFonts w:ascii="仿宋_GB2312" w:eastAsia="仿宋_GB2312" w:hAnsi="宋体" w:cs="仿宋_GB2312" w:hint="eastAsia"/>
          <w:sz w:val="24"/>
          <w:szCs w:val="24"/>
        </w:rPr>
        <w:t>有限、爱好者较少；形式上，调研数据显示小众博物馆开设线上数字展厅的比例仅为</w:t>
      </w:r>
      <w:r>
        <w:rPr>
          <w:rFonts w:ascii="仿宋_GB2312" w:eastAsia="仿宋_GB2312" w:hAnsi="宋体" w:cs="仿宋_GB2312" w:hint="eastAsia"/>
          <w:sz w:val="24"/>
          <w:szCs w:val="24"/>
        </w:rPr>
        <w:t>25.76%</w:t>
      </w:r>
      <w:r>
        <w:rPr>
          <w:rFonts w:ascii="仿宋_GB2312" w:eastAsia="仿宋_GB2312" w:hAnsi="宋体" w:cs="仿宋_GB2312" w:hint="eastAsia"/>
          <w:sz w:val="24"/>
          <w:szCs w:val="24"/>
        </w:rPr>
        <w:t>，体现出其展览形式不够新颖，而相对传统和单一的展</w:t>
      </w:r>
      <w:r>
        <w:rPr>
          <w:rFonts w:ascii="仿宋_GB2312" w:eastAsia="仿宋_GB2312" w:hAnsi="宋体" w:cs="仿宋_GB2312" w:hint="eastAsia"/>
          <w:sz w:val="24"/>
          <w:szCs w:val="24"/>
        </w:rPr>
        <w:t>览形式难以激发民众的参观兴趣。</w:t>
      </w:r>
    </w:p>
    <w:p w14:paraId="5D75234F" w14:textId="77777777" w:rsidR="00D54F66" w:rsidRDefault="00012090" w:rsidP="004C6116">
      <w:pPr>
        <w:spacing w:line="360" w:lineRule="exact"/>
        <w:jc w:val="left"/>
        <w:rPr>
          <w:rFonts w:ascii="仿宋_GB2312" w:eastAsia="仿宋_GB2312" w:hAnsi="宋体" w:cs="仿宋_GB2312"/>
          <w:sz w:val="24"/>
          <w:szCs w:val="24"/>
        </w:rPr>
      </w:pPr>
      <w:r>
        <w:rPr>
          <w:rFonts w:ascii="仿宋_GB2312" w:eastAsia="仿宋_GB2312" w:hAnsi="宋体" w:cs="仿宋_GB2312" w:hint="eastAsia"/>
          <w:sz w:val="24"/>
          <w:szCs w:val="24"/>
        </w:rPr>
        <w:t>建议</w:t>
      </w:r>
    </w:p>
    <w:p w14:paraId="7261AE91"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第一，结合《博物馆运行评估标准》统筹分配博物馆运行经费。</w:t>
      </w:r>
      <w:r>
        <w:rPr>
          <w:rFonts w:ascii="仿宋_GB2312" w:eastAsia="仿宋_GB2312" w:hAnsi="宋体" w:cs="仿宋_GB2312" w:hint="eastAsia"/>
          <w:sz w:val="24"/>
          <w:szCs w:val="24"/>
        </w:rPr>
        <w:t>2022</w:t>
      </w:r>
      <w:r>
        <w:rPr>
          <w:rFonts w:ascii="仿宋_GB2312" w:eastAsia="仿宋_GB2312" w:hAnsi="宋体" w:cs="仿宋_GB2312" w:hint="eastAsia"/>
          <w:sz w:val="24"/>
          <w:szCs w:val="24"/>
        </w:rPr>
        <w:t>年</w:t>
      </w:r>
      <w:r>
        <w:rPr>
          <w:rFonts w:ascii="仿宋_GB2312" w:eastAsia="仿宋_GB2312" w:hAnsi="宋体" w:cs="仿宋_GB2312" w:hint="eastAsia"/>
          <w:sz w:val="24"/>
          <w:szCs w:val="24"/>
        </w:rPr>
        <w:t>11</w:t>
      </w:r>
      <w:r>
        <w:rPr>
          <w:rFonts w:ascii="仿宋_GB2312" w:eastAsia="仿宋_GB2312" w:hAnsi="宋体" w:cs="仿宋_GB2312" w:hint="eastAsia"/>
          <w:sz w:val="24"/>
          <w:szCs w:val="24"/>
        </w:rPr>
        <w:t>月国家文物局印发的《博物馆运行评估标准》包含文创经营、线上数字化体验产品、教育服务、参观人数等指标。北京市财政局应结合《博物馆运行评估标准》统筹分配市区两级财政安排的</w:t>
      </w:r>
      <w:r>
        <w:rPr>
          <w:rFonts w:ascii="仿宋_GB2312" w:eastAsia="仿宋_GB2312" w:hAnsi="宋体" w:cs="仿宋_GB2312" w:hint="eastAsia"/>
          <w:sz w:val="24"/>
          <w:szCs w:val="24"/>
        </w:rPr>
        <w:t>11</w:t>
      </w:r>
      <w:r>
        <w:rPr>
          <w:rFonts w:ascii="仿宋_GB2312" w:eastAsia="仿宋_GB2312" w:hAnsi="宋体" w:cs="仿宋_GB2312" w:hint="eastAsia"/>
          <w:sz w:val="24"/>
          <w:szCs w:val="24"/>
        </w:rPr>
        <w:t>亿元博物馆运行经费及</w:t>
      </w:r>
      <w:r>
        <w:rPr>
          <w:rFonts w:ascii="仿宋_GB2312" w:eastAsia="仿宋_GB2312" w:hAnsi="宋体" w:cs="仿宋_GB2312" w:hint="eastAsia"/>
          <w:sz w:val="24"/>
          <w:szCs w:val="24"/>
        </w:rPr>
        <w:t>5000</w:t>
      </w:r>
      <w:r>
        <w:rPr>
          <w:rFonts w:ascii="仿宋_GB2312" w:eastAsia="仿宋_GB2312" w:hAnsi="宋体" w:cs="仿宋_GB2312" w:hint="eastAsia"/>
          <w:sz w:val="24"/>
          <w:szCs w:val="24"/>
        </w:rPr>
        <w:t>万元中央补助资金，激发博物馆开发文化创意产品、线上数字化体验产品的积极性，鼓励博物馆开展教育活动，推动博物馆年均接待观众数量规模与博物馆接待能力相适应，提升小众博物馆的资源利用效率。</w:t>
      </w:r>
    </w:p>
    <w:p w14:paraId="12F9D5C5"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第二，搭建北京市博物馆</w:t>
      </w:r>
      <w:r>
        <w:rPr>
          <w:rFonts w:ascii="仿宋_GB2312" w:eastAsia="仿宋_GB2312" w:hAnsi="宋体" w:cs="仿宋_GB2312" w:hint="eastAsia"/>
          <w:sz w:val="24"/>
          <w:szCs w:val="24"/>
        </w:rPr>
        <w:t>馆际交流合作平台及与社会力量的合作平台。北京市文物局可搭建北京市博物馆的馆际交流合作平台，鼓励热门博物馆与主题相关的小众博物馆合作办展，使小众博物馆的藏品活起来，形成热门博物馆对小众博物馆的辐射带动作用，提高小众博物馆的知名度。北京市文物局可搭建北京市博物馆与文化企业、高新技术企业等社会力量的合作平台，促进博物馆文化创意产品和线上数字化体验产品的开发，打造符合博物馆主题的别具匠心的产品，以“出圈”产品为招牌增加小众博物馆的关注度。</w:t>
      </w:r>
    </w:p>
    <w:p w14:paraId="13BBBDC3"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第三，完善整合北京市各博物馆信息，做好线上平台建设。北京市文物局应推动“北京</w:t>
      </w:r>
      <w:r>
        <w:rPr>
          <w:rFonts w:ascii="仿宋_GB2312" w:eastAsia="仿宋_GB2312" w:hAnsi="宋体" w:cs="仿宋_GB2312" w:hint="eastAsia"/>
          <w:sz w:val="24"/>
          <w:szCs w:val="24"/>
        </w:rPr>
        <w:t>文博”</w:t>
      </w:r>
      <w:proofErr w:type="gramStart"/>
      <w:r>
        <w:rPr>
          <w:rFonts w:ascii="仿宋_GB2312" w:eastAsia="仿宋_GB2312" w:hAnsi="宋体" w:cs="仿宋_GB2312" w:hint="eastAsia"/>
          <w:sz w:val="24"/>
          <w:szCs w:val="24"/>
        </w:rPr>
        <w:t>微信公众号</w:t>
      </w:r>
      <w:proofErr w:type="gramEnd"/>
      <w:r>
        <w:rPr>
          <w:rFonts w:ascii="仿宋_GB2312" w:eastAsia="仿宋_GB2312" w:hAnsi="宋体" w:cs="仿宋_GB2312" w:hint="eastAsia"/>
          <w:sz w:val="24"/>
          <w:szCs w:val="24"/>
        </w:rPr>
        <w:t>这一北京市博物馆统一参观预约平台实现对北京市所有博物馆的线上预约渠道全覆盖，并及时更新各博物馆最新预约资讯。北京市文化和旅游局可在北京旅游网中实现对北京市所有博物馆开设时间、参观预约等信息的全覆盖，并且在主页的景点栏目加设对北京市博物馆的分类介绍，既方便游客根据个人喜好选择参观景点，又能够通过向小众博物馆分流的方式减轻热门博物馆的负载压力，推动北京市博物馆资源的整合利用。</w:t>
      </w:r>
    </w:p>
    <w:p w14:paraId="51467704"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第四，推广实施博物馆“五进”工程。北京市各区文化和旅游局和文物管理所可参考朝阳区博物馆之城的建设方案，推广实施博物馆“进</w:t>
      </w:r>
      <w:r>
        <w:rPr>
          <w:rFonts w:ascii="仿宋_GB2312" w:eastAsia="仿宋_GB2312" w:hAnsi="宋体" w:cs="仿宋_GB2312" w:hint="eastAsia"/>
          <w:sz w:val="24"/>
          <w:szCs w:val="24"/>
        </w:rPr>
        <w:t>商圈”“进企业”</w:t>
      </w:r>
      <w:r>
        <w:rPr>
          <w:rFonts w:ascii="仿宋_GB2312" w:eastAsia="仿宋_GB2312" w:hAnsi="宋体" w:cs="仿宋_GB2312" w:hint="eastAsia"/>
          <w:sz w:val="24"/>
          <w:szCs w:val="24"/>
        </w:rPr>
        <w:lastRenderedPageBreak/>
        <w:t>“进园区”“进社区”“进学校”的“五进”工程，挖掘北京市各博物馆的魅力和潜力。可以丰富的展览、展演、市集等文博活动，打造多元化商</w:t>
      </w:r>
      <w:proofErr w:type="gramStart"/>
      <w:r>
        <w:rPr>
          <w:rFonts w:ascii="仿宋_GB2312" w:eastAsia="仿宋_GB2312" w:hAnsi="宋体" w:cs="仿宋_GB2312" w:hint="eastAsia"/>
          <w:sz w:val="24"/>
          <w:szCs w:val="24"/>
        </w:rPr>
        <w:t>圈文化</w:t>
      </w:r>
      <w:proofErr w:type="gramEnd"/>
      <w:r>
        <w:rPr>
          <w:rFonts w:ascii="仿宋_GB2312" w:eastAsia="仿宋_GB2312" w:hAnsi="宋体" w:cs="仿宋_GB2312" w:hint="eastAsia"/>
          <w:sz w:val="24"/>
          <w:szCs w:val="24"/>
        </w:rPr>
        <w:t>空间，激发</w:t>
      </w:r>
      <w:proofErr w:type="gramStart"/>
      <w:r>
        <w:rPr>
          <w:rFonts w:ascii="仿宋_GB2312" w:eastAsia="仿宋_GB2312" w:hAnsi="宋体" w:cs="仿宋_GB2312" w:hint="eastAsia"/>
          <w:sz w:val="24"/>
          <w:szCs w:val="24"/>
        </w:rPr>
        <w:t>文旅消费</w:t>
      </w:r>
      <w:proofErr w:type="gramEnd"/>
      <w:r>
        <w:rPr>
          <w:rFonts w:ascii="仿宋_GB2312" w:eastAsia="仿宋_GB2312" w:hAnsi="宋体" w:cs="仿宋_GB2312" w:hint="eastAsia"/>
          <w:sz w:val="24"/>
          <w:szCs w:val="24"/>
        </w:rPr>
        <w:t>活力；把丰富的区域文</w:t>
      </w:r>
      <w:proofErr w:type="gramStart"/>
      <w:r>
        <w:rPr>
          <w:rFonts w:ascii="仿宋_GB2312" w:eastAsia="仿宋_GB2312" w:hAnsi="宋体" w:cs="仿宋_GB2312" w:hint="eastAsia"/>
          <w:sz w:val="24"/>
          <w:szCs w:val="24"/>
        </w:rPr>
        <w:t>博资源</w:t>
      </w:r>
      <w:proofErr w:type="gramEnd"/>
      <w:r>
        <w:rPr>
          <w:rFonts w:ascii="仿宋_GB2312" w:eastAsia="仿宋_GB2312" w:hAnsi="宋体" w:cs="仿宋_GB2312" w:hint="eastAsia"/>
          <w:sz w:val="24"/>
          <w:szCs w:val="24"/>
        </w:rPr>
        <w:t>分享给市民游客，推动博物馆融入百姓日常生活。</w:t>
      </w:r>
    </w:p>
    <w:p w14:paraId="405206AB" w14:textId="77777777" w:rsidR="00D54F66" w:rsidRDefault="00D54F66" w:rsidP="004C6116">
      <w:pPr>
        <w:widowControl/>
        <w:spacing w:line="360" w:lineRule="exact"/>
        <w:jc w:val="left"/>
      </w:pPr>
    </w:p>
    <w:p w14:paraId="2FE04718" w14:textId="77777777" w:rsidR="00D54F66" w:rsidRDefault="00012090" w:rsidP="004C6116">
      <w:pPr>
        <w:spacing w:line="360" w:lineRule="exact"/>
        <w:jc w:val="left"/>
        <w:rPr>
          <w:rFonts w:ascii="仿宋_GB2312" w:eastAsia="仿宋_GB2312" w:hAnsi="宋体" w:cs="仿宋_GB2312"/>
          <w:b/>
          <w:bCs/>
          <w:sz w:val="24"/>
          <w:szCs w:val="24"/>
        </w:rPr>
      </w:pPr>
      <w:r>
        <w:rPr>
          <w:rFonts w:ascii="仿宋_GB2312" w:eastAsia="仿宋_GB2312" w:hAnsi="宋体" w:cs="仿宋_GB2312" w:hint="eastAsia"/>
          <w:b/>
          <w:bCs/>
          <w:sz w:val="24"/>
          <w:szCs w:val="24"/>
        </w:rPr>
        <w:t>范例三：全国政协十三届四次会议第</w:t>
      </w:r>
      <w:r>
        <w:rPr>
          <w:rFonts w:ascii="仿宋_GB2312" w:eastAsia="仿宋_GB2312" w:hAnsi="宋体" w:cs="仿宋_GB2312" w:hint="eastAsia"/>
          <w:b/>
          <w:bCs/>
          <w:sz w:val="24"/>
          <w:szCs w:val="24"/>
        </w:rPr>
        <w:t>3041</w:t>
      </w:r>
      <w:r>
        <w:rPr>
          <w:rFonts w:ascii="仿宋_GB2312" w:eastAsia="仿宋_GB2312" w:hAnsi="宋体" w:cs="仿宋_GB2312" w:hint="eastAsia"/>
          <w:b/>
          <w:bCs/>
          <w:sz w:val="24"/>
          <w:szCs w:val="24"/>
        </w:rPr>
        <w:t>号提案</w:t>
      </w:r>
    </w:p>
    <w:p w14:paraId="6311B0C3"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题</w:t>
      </w:r>
      <w:r>
        <w:rPr>
          <w:rFonts w:ascii="仿宋_GB2312" w:eastAsia="仿宋_GB2312" w:hAnsi="宋体" w:cs="仿宋_GB2312" w:hint="eastAsia"/>
          <w:sz w:val="24"/>
          <w:szCs w:val="24"/>
        </w:rPr>
        <w:t> </w:t>
      </w:r>
      <w:r>
        <w:rPr>
          <w:rFonts w:ascii="仿宋_GB2312" w:eastAsia="仿宋_GB2312" w:hAnsi="宋体" w:cs="仿宋_GB2312" w:hint="eastAsia"/>
          <w:sz w:val="24"/>
          <w:szCs w:val="24"/>
        </w:rPr>
        <w:t xml:space="preserve"> </w:t>
      </w:r>
      <w:r>
        <w:rPr>
          <w:rFonts w:ascii="仿宋_GB2312" w:eastAsia="仿宋_GB2312" w:hAnsi="宋体" w:cs="仿宋_GB2312" w:hint="eastAsia"/>
          <w:sz w:val="24"/>
          <w:szCs w:val="24"/>
        </w:rPr>
        <w:t> </w:t>
      </w:r>
      <w:r>
        <w:rPr>
          <w:rFonts w:ascii="仿宋_GB2312" w:eastAsia="仿宋_GB2312" w:hAnsi="宋体" w:cs="仿宋_GB2312" w:hint="eastAsia"/>
          <w:sz w:val="24"/>
          <w:szCs w:val="24"/>
        </w:rPr>
        <w:t xml:space="preserve"> </w:t>
      </w:r>
      <w:r>
        <w:rPr>
          <w:rFonts w:ascii="仿宋_GB2312" w:eastAsia="仿宋_GB2312" w:hAnsi="宋体" w:cs="仿宋_GB2312" w:hint="eastAsia"/>
          <w:sz w:val="24"/>
          <w:szCs w:val="24"/>
        </w:rPr>
        <w:t>目：</w:t>
      </w:r>
      <w:r>
        <w:rPr>
          <w:rFonts w:ascii="仿宋_GB2312" w:eastAsia="仿宋_GB2312" w:hAnsi="宋体" w:cs="仿宋_GB2312" w:hint="eastAsia"/>
          <w:sz w:val="24"/>
          <w:szCs w:val="24"/>
        </w:rPr>
        <w:t xml:space="preserve"> </w:t>
      </w:r>
      <w:r>
        <w:rPr>
          <w:rFonts w:ascii="仿宋_GB2312" w:eastAsia="仿宋_GB2312" w:hAnsi="宋体" w:cs="仿宋_GB2312" w:hint="eastAsia"/>
          <w:sz w:val="24"/>
          <w:szCs w:val="24"/>
        </w:rPr>
        <w:t>关于加快《民法典》颁布后新旧法衔接推广的提案</w:t>
      </w:r>
    </w:p>
    <w:p w14:paraId="65D1B645"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主</w:t>
      </w:r>
      <w:r>
        <w:rPr>
          <w:rFonts w:ascii="仿宋_GB2312" w:eastAsia="仿宋_GB2312" w:hAnsi="宋体" w:cs="仿宋_GB2312" w:hint="eastAsia"/>
          <w:sz w:val="24"/>
          <w:szCs w:val="24"/>
        </w:rPr>
        <w:t> </w:t>
      </w:r>
      <w:r>
        <w:rPr>
          <w:rFonts w:ascii="仿宋_GB2312" w:eastAsia="仿宋_GB2312" w:hAnsi="宋体" w:cs="仿宋_GB2312" w:hint="eastAsia"/>
          <w:sz w:val="24"/>
          <w:szCs w:val="24"/>
        </w:rPr>
        <w:t xml:space="preserve"> </w:t>
      </w:r>
      <w:r>
        <w:rPr>
          <w:rFonts w:ascii="仿宋_GB2312" w:eastAsia="仿宋_GB2312" w:hAnsi="宋体" w:cs="仿宋_GB2312" w:hint="eastAsia"/>
          <w:sz w:val="24"/>
          <w:szCs w:val="24"/>
        </w:rPr>
        <w:t> </w:t>
      </w:r>
      <w:r>
        <w:rPr>
          <w:rFonts w:ascii="仿宋_GB2312" w:eastAsia="仿宋_GB2312" w:hAnsi="宋体" w:cs="仿宋_GB2312" w:hint="eastAsia"/>
          <w:sz w:val="24"/>
          <w:szCs w:val="24"/>
        </w:rPr>
        <w:t xml:space="preserve"> </w:t>
      </w:r>
      <w:r>
        <w:rPr>
          <w:rFonts w:ascii="仿宋_GB2312" w:eastAsia="仿宋_GB2312" w:hAnsi="宋体" w:cs="仿宋_GB2312" w:hint="eastAsia"/>
          <w:sz w:val="24"/>
          <w:szCs w:val="24"/>
        </w:rPr>
        <w:t>办：</w:t>
      </w:r>
      <w:r>
        <w:rPr>
          <w:rFonts w:ascii="仿宋_GB2312" w:eastAsia="仿宋_GB2312" w:hAnsi="宋体" w:cs="仿宋_GB2312" w:hint="eastAsia"/>
          <w:sz w:val="24"/>
          <w:szCs w:val="24"/>
        </w:rPr>
        <w:t xml:space="preserve"> </w:t>
      </w:r>
      <w:r>
        <w:rPr>
          <w:rFonts w:ascii="仿宋_GB2312" w:eastAsia="仿宋_GB2312" w:hAnsi="宋体" w:cs="仿宋_GB2312" w:hint="eastAsia"/>
          <w:sz w:val="24"/>
          <w:szCs w:val="24"/>
        </w:rPr>
        <w:t>宋亚坤</w:t>
      </w:r>
    </w:p>
    <w:p w14:paraId="18455149"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内</w:t>
      </w:r>
      <w:r>
        <w:rPr>
          <w:rFonts w:ascii="仿宋_GB2312" w:eastAsia="仿宋_GB2312" w:hAnsi="宋体" w:cs="仿宋_GB2312" w:hint="eastAsia"/>
          <w:sz w:val="24"/>
          <w:szCs w:val="24"/>
        </w:rPr>
        <w:t> </w:t>
      </w:r>
      <w:r>
        <w:rPr>
          <w:rFonts w:ascii="仿宋_GB2312" w:eastAsia="仿宋_GB2312" w:hAnsi="宋体" w:cs="仿宋_GB2312" w:hint="eastAsia"/>
          <w:sz w:val="24"/>
          <w:szCs w:val="24"/>
        </w:rPr>
        <w:t xml:space="preserve"> </w:t>
      </w:r>
      <w:r>
        <w:rPr>
          <w:rFonts w:ascii="仿宋_GB2312" w:eastAsia="仿宋_GB2312" w:hAnsi="宋体" w:cs="仿宋_GB2312" w:hint="eastAsia"/>
          <w:sz w:val="24"/>
          <w:szCs w:val="24"/>
        </w:rPr>
        <w:t> </w:t>
      </w:r>
      <w:r>
        <w:rPr>
          <w:rFonts w:ascii="仿宋_GB2312" w:eastAsia="仿宋_GB2312" w:hAnsi="宋体" w:cs="仿宋_GB2312" w:hint="eastAsia"/>
          <w:sz w:val="24"/>
          <w:szCs w:val="24"/>
        </w:rPr>
        <w:t xml:space="preserve"> </w:t>
      </w:r>
      <w:r>
        <w:rPr>
          <w:rFonts w:ascii="仿宋_GB2312" w:eastAsia="仿宋_GB2312" w:hAnsi="宋体" w:cs="仿宋_GB2312" w:hint="eastAsia"/>
          <w:sz w:val="24"/>
          <w:szCs w:val="24"/>
        </w:rPr>
        <w:t>容：</w:t>
      </w:r>
      <w:r>
        <w:rPr>
          <w:rFonts w:ascii="仿宋_GB2312" w:eastAsia="仿宋_GB2312" w:hAnsi="宋体" w:cs="仿宋_GB2312" w:hint="eastAsia"/>
          <w:sz w:val="24"/>
          <w:szCs w:val="24"/>
        </w:rPr>
        <w:t xml:space="preserve"> </w:t>
      </w:r>
    </w:p>
    <w:p w14:paraId="0954A6D2"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2021</w:t>
      </w:r>
      <w:r>
        <w:rPr>
          <w:rFonts w:ascii="仿宋_GB2312" w:eastAsia="仿宋_GB2312" w:hAnsi="宋体" w:cs="仿宋_GB2312" w:hint="eastAsia"/>
          <w:sz w:val="24"/>
          <w:szCs w:val="24"/>
        </w:rPr>
        <w:t>年</w:t>
      </w:r>
      <w:r>
        <w:rPr>
          <w:rFonts w:ascii="仿宋_GB2312" w:eastAsia="仿宋_GB2312" w:hAnsi="宋体" w:cs="仿宋_GB2312" w:hint="eastAsia"/>
          <w:sz w:val="24"/>
          <w:szCs w:val="24"/>
        </w:rPr>
        <w:t>1</w:t>
      </w:r>
      <w:r>
        <w:rPr>
          <w:rFonts w:ascii="仿宋_GB2312" w:eastAsia="仿宋_GB2312" w:hAnsi="宋体" w:cs="仿宋_GB2312" w:hint="eastAsia"/>
          <w:sz w:val="24"/>
          <w:szCs w:val="24"/>
        </w:rPr>
        <w:t>月</w:t>
      </w:r>
      <w:r>
        <w:rPr>
          <w:rFonts w:ascii="仿宋_GB2312" w:eastAsia="仿宋_GB2312" w:hAnsi="宋体" w:cs="仿宋_GB2312" w:hint="eastAsia"/>
          <w:sz w:val="24"/>
          <w:szCs w:val="24"/>
        </w:rPr>
        <w:t>1</w:t>
      </w:r>
      <w:r>
        <w:rPr>
          <w:rFonts w:ascii="仿宋_GB2312" w:eastAsia="仿宋_GB2312" w:hAnsi="宋体" w:cs="仿宋_GB2312" w:hint="eastAsia"/>
          <w:sz w:val="24"/>
          <w:szCs w:val="24"/>
        </w:rPr>
        <w:t>日，《中华人民共和国民法典》正式施行。这部《民法典》是新中国成立以来第一部以“法典”命名的法律，具有十</w:t>
      </w:r>
      <w:r>
        <w:rPr>
          <w:rFonts w:ascii="仿宋_GB2312" w:eastAsia="仿宋_GB2312" w:hAnsi="宋体" w:cs="仿宋_GB2312" w:hint="eastAsia"/>
          <w:sz w:val="24"/>
          <w:szCs w:val="24"/>
        </w:rPr>
        <w:t>分重要的里程碑意义。经过调研发现，做好新旧法的衔接工作尤为重要，且刻不容缓。</w:t>
      </w:r>
    </w:p>
    <w:p w14:paraId="0E5A3B07"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一、新旧法衔接推广困难不容小觑</w:t>
      </w:r>
    </w:p>
    <w:p w14:paraId="13495FB9"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据国家司法部门统计</w:t>
      </w:r>
      <w:r>
        <w:rPr>
          <w:rFonts w:ascii="仿宋_GB2312" w:eastAsia="仿宋_GB2312" w:hAnsi="宋体" w:cs="仿宋_GB2312" w:hint="eastAsia"/>
          <w:sz w:val="24"/>
          <w:szCs w:val="24"/>
        </w:rPr>
        <w:t>,</w:t>
      </w:r>
      <w:r>
        <w:rPr>
          <w:rFonts w:ascii="仿宋_GB2312" w:eastAsia="仿宋_GB2312" w:hAnsi="宋体" w:cs="仿宋_GB2312" w:hint="eastAsia"/>
          <w:sz w:val="24"/>
          <w:szCs w:val="24"/>
        </w:rPr>
        <w:t>《民法典》的</w:t>
      </w:r>
      <w:r>
        <w:rPr>
          <w:rFonts w:ascii="仿宋_GB2312" w:eastAsia="仿宋_GB2312" w:hAnsi="宋体" w:cs="仿宋_GB2312" w:hint="eastAsia"/>
          <w:sz w:val="24"/>
          <w:szCs w:val="24"/>
        </w:rPr>
        <w:t>1260</w:t>
      </w:r>
      <w:r>
        <w:rPr>
          <w:rFonts w:ascii="仿宋_GB2312" w:eastAsia="仿宋_GB2312" w:hAnsi="宋体" w:cs="仿宋_GB2312" w:hint="eastAsia"/>
          <w:sz w:val="24"/>
          <w:szCs w:val="24"/>
        </w:rPr>
        <w:t>个条文中，保留条文占</w:t>
      </w:r>
      <w:r>
        <w:rPr>
          <w:rFonts w:ascii="仿宋_GB2312" w:eastAsia="仿宋_GB2312" w:hAnsi="宋体" w:cs="仿宋_GB2312" w:hint="eastAsia"/>
          <w:sz w:val="24"/>
          <w:szCs w:val="24"/>
        </w:rPr>
        <w:t>36.3%</w:t>
      </w:r>
      <w:r>
        <w:rPr>
          <w:rFonts w:ascii="仿宋_GB2312" w:eastAsia="仿宋_GB2312" w:hAnsi="宋体" w:cs="仿宋_GB2312" w:hint="eastAsia"/>
          <w:sz w:val="24"/>
          <w:szCs w:val="24"/>
        </w:rPr>
        <w:t>；新增条文占</w:t>
      </w:r>
      <w:r>
        <w:rPr>
          <w:rFonts w:ascii="仿宋_GB2312" w:eastAsia="仿宋_GB2312" w:hAnsi="宋体" w:cs="仿宋_GB2312" w:hint="eastAsia"/>
          <w:sz w:val="24"/>
          <w:szCs w:val="24"/>
        </w:rPr>
        <w:t>11.7%</w:t>
      </w:r>
      <w:r>
        <w:rPr>
          <w:rFonts w:ascii="仿宋_GB2312" w:eastAsia="仿宋_GB2312" w:hAnsi="宋体" w:cs="仿宋_GB2312" w:hint="eastAsia"/>
          <w:sz w:val="24"/>
          <w:szCs w:val="24"/>
        </w:rPr>
        <w:t>；实质性修改条文占</w:t>
      </w:r>
      <w:r>
        <w:rPr>
          <w:rFonts w:ascii="仿宋_GB2312" w:eastAsia="仿宋_GB2312" w:hAnsi="宋体" w:cs="仿宋_GB2312" w:hint="eastAsia"/>
          <w:sz w:val="24"/>
          <w:szCs w:val="24"/>
        </w:rPr>
        <w:t>19.5%</w:t>
      </w:r>
      <w:r>
        <w:rPr>
          <w:rFonts w:ascii="仿宋_GB2312" w:eastAsia="仿宋_GB2312" w:hAnsi="宋体" w:cs="仿宋_GB2312" w:hint="eastAsia"/>
          <w:sz w:val="24"/>
          <w:szCs w:val="24"/>
        </w:rPr>
        <w:t>；非实质性修改条文占</w:t>
      </w:r>
      <w:r>
        <w:rPr>
          <w:rFonts w:ascii="仿宋_GB2312" w:eastAsia="仿宋_GB2312" w:hAnsi="宋体" w:cs="仿宋_GB2312" w:hint="eastAsia"/>
          <w:sz w:val="24"/>
          <w:szCs w:val="24"/>
        </w:rPr>
        <w:t>32.5%</w:t>
      </w:r>
      <w:r>
        <w:rPr>
          <w:rFonts w:ascii="仿宋_GB2312" w:eastAsia="仿宋_GB2312" w:hAnsi="宋体" w:cs="仿宋_GB2312" w:hint="eastAsia"/>
          <w:sz w:val="24"/>
          <w:szCs w:val="24"/>
        </w:rPr>
        <w:t>。</w:t>
      </w:r>
    </w:p>
    <w:p w14:paraId="2861DEB5"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最高人民法院分管日常工作的贺荣副院长在</w:t>
      </w:r>
      <w:r>
        <w:rPr>
          <w:rFonts w:ascii="仿宋_GB2312" w:eastAsia="仿宋_GB2312" w:hAnsi="宋体" w:cs="仿宋_GB2312" w:hint="eastAsia"/>
          <w:sz w:val="24"/>
          <w:szCs w:val="24"/>
        </w:rPr>
        <w:t>2020</w:t>
      </w:r>
      <w:r>
        <w:rPr>
          <w:rFonts w:ascii="仿宋_GB2312" w:eastAsia="仿宋_GB2312" w:hAnsi="宋体" w:cs="仿宋_GB2312" w:hint="eastAsia"/>
          <w:sz w:val="24"/>
          <w:szCs w:val="24"/>
        </w:rPr>
        <w:t>年</w:t>
      </w:r>
      <w:r>
        <w:rPr>
          <w:rFonts w:ascii="仿宋_GB2312" w:eastAsia="仿宋_GB2312" w:hAnsi="宋体" w:cs="仿宋_GB2312" w:hint="eastAsia"/>
          <w:sz w:val="24"/>
          <w:szCs w:val="24"/>
        </w:rPr>
        <w:t>12</w:t>
      </w:r>
      <w:r>
        <w:rPr>
          <w:rFonts w:ascii="仿宋_GB2312" w:eastAsia="仿宋_GB2312" w:hAnsi="宋体" w:cs="仿宋_GB2312" w:hint="eastAsia"/>
          <w:sz w:val="24"/>
          <w:szCs w:val="24"/>
        </w:rPr>
        <w:t>月</w:t>
      </w:r>
      <w:r>
        <w:rPr>
          <w:rFonts w:ascii="仿宋_GB2312" w:eastAsia="仿宋_GB2312" w:hAnsi="宋体" w:cs="仿宋_GB2312" w:hint="eastAsia"/>
          <w:sz w:val="24"/>
          <w:szCs w:val="24"/>
        </w:rPr>
        <w:t>30</w:t>
      </w:r>
      <w:r>
        <w:rPr>
          <w:rFonts w:ascii="仿宋_GB2312" w:eastAsia="仿宋_GB2312" w:hAnsi="宋体" w:cs="仿宋_GB2312" w:hint="eastAsia"/>
          <w:sz w:val="24"/>
          <w:szCs w:val="24"/>
        </w:rPr>
        <w:t>日在新闻发布会上指出：经前期梳理统计，建国以来现行的司法解释及相关规范性文件共计</w:t>
      </w:r>
      <w:r>
        <w:rPr>
          <w:rFonts w:ascii="仿宋_GB2312" w:eastAsia="仿宋_GB2312" w:hAnsi="宋体" w:cs="仿宋_GB2312" w:hint="eastAsia"/>
          <w:sz w:val="24"/>
          <w:szCs w:val="24"/>
        </w:rPr>
        <w:t>591</w:t>
      </w:r>
      <w:r>
        <w:rPr>
          <w:rFonts w:ascii="仿宋_GB2312" w:eastAsia="仿宋_GB2312" w:hAnsi="宋体" w:cs="仿宋_GB2312" w:hint="eastAsia"/>
          <w:sz w:val="24"/>
          <w:szCs w:val="24"/>
        </w:rPr>
        <w:t>件，</w:t>
      </w:r>
      <w:r>
        <w:rPr>
          <w:rFonts w:ascii="仿宋_GB2312" w:eastAsia="仿宋_GB2312" w:hAnsi="宋体" w:cs="仿宋_GB2312" w:hint="eastAsia"/>
          <w:sz w:val="24"/>
          <w:szCs w:val="24"/>
        </w:rPr>
        <w:t>2020</w:t>
      </w:r>
      <w:r>
        <w:rPr>
          <w:rFonts w:ascii="仿宋_GB2312" w:eastAsia="仿宋_GB2312" w:hAnsi="宋体" w:cs="仿宋_GB2312" w:hint="eastAsia"/>
          <w:sz w:val="24"/>
          <w:szCs w:val="24"/>
        </w:rPr>
        <w:t>年</w:t>
      </w:r>
      <w:r>
        <w:rPr>
          <w:rFonts w:ascii="仿宋_GB2312" w:eastAsia="仿宋_GB2312" w:hAnsi="宋体" w:cs="仿宋_GB2312" w:hint="eastAsia"/>
          <w:sz w:val="24"/>
          <w:szCs w:val="24"/>
        </w:rPr>
        <w:t>6</w:t>
      </w:r>
      <w:r>
        <w:rPr>
          <w:rFonts w:ascii="仿宋_GB2312" w:eastAsia="仿宋_GB2312" w:hAnsi="宋体" w:cs="仿宋_GB2312" w:hint="eastAsia"/>
          <w:sz w:val="24"/>
          <w:szCs w:val="24"/>
        </w:rPr>
        <w:t>月后，最高人民法院进行了全面清理。清理的原则是：凡是与《民法典》规定不一致的，坚决废止。</w:t>
      </w:r>
      <w:r>
        <w:rPr>
          <w:rFonts w:ascii="仿宋_GB2312" w:eastAsia="仿宋_GB2312" w:hAnsi="宋体" w:cs="仿宋_GB2312" w:hint="eastAsia"/>
          <w:sz w:val="24"/>
          <w:szCs w:val="24"/>
        </w:rPr>
        <w:t>以确保司法解释符合《民法典》规定，确保法律适用标准统一。</w:t>
      </w:r>
    </w:p>
    <w:p w14:paraId="29E19A0A"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也就是说，旧新法之间出现了大量不一致，所以新旧法的衔接工作任务繁重，且意义重大。</w:t>
      </w:r>
    </w:p>
    <w:p w14:paraId="3D5C8FA5"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二、新旧法衔接推广不好，恐埋下隐患</w:t>
      </w:r>
    </w:p>
    <w:p w14:paraId="6899C3F9"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进入</w:t>
      </w:r>
      <w:r>
        <w:rPr>
          <w:rFonts w:ascii="仿宋_GB2312" w:eastAsia="仿宋_GB2312" w:hAnsi="宋体" w:cs="仿宋_GB2312" w:hint="eastAsia"/>
          <w:sz w:val="24"/>
          <w:szCs w:val="24"/>
        </w:rPr>
        <w:t>2021</w:t>
      </w:r>
      <w:r>
        <w:rPr>
          <w:rFonts w:ascii="仿宋_GB2312" w:eastAsia="仿宋_GB2312" w:hAnsi="宋体" w:cs="仿宋_GB2312" w:hint="eastAsia"/>
          <w:sz w:val="24"/>
          <w:szCs w:val="24"/>
        </w:rPr>
        <w:t>年，法律准绳发生了重大变化，势必影响人民群众的思维判断和行为习惯。新旧法的更迭，也必将产生大量人民内部的矛盾。</w:t>
      </w:r>
    </w:p>
    <w:p w14:paraId="0D68EF37"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调研发现，关于小区物业收费的问题就是一个焦点。《民法典》第二百八十二条规定</w:t>
      </w:r>
      <w:r>
        <w:rPr>
          <w:rFonts w:ascii="仿宋_GB2312" w:eastAsia="仿宋_GB2312" w:hAnsi="宋体" w:cs="仿宋_GB2312" w:hint="eastAsia"/>
          <w:sz w:val="24"/>
          <w:szCs w:val="24"/>
        </w:rPr>
        <w:t>:</w:t>
      </w:r>
      <w:r>
        <w:rPr>
          <w:rFonts w:ascii="仿宋_GB2312" w:eastAsia="仿宋_GB2312" w:hAnsi="宋体" w:cs="仿宋_GB2312" w:hint="eastAsia"/>
          <w:sz w:val="24"/>
          <w:szCs w:val="24"/>
        </w:rPr>
        <w:t>“建设单位、物业服务企业或者其他管理人等利用业主的共有部分产生的收入</w:t>
      </w:r>
      <w:r>
        <w:rPr>
          <w:rFonts w:ascii="仿宋_GB2312" w:eastAsia="仿宋_GB2312" w:hAnsi="宋体" w:cs="仿宋_GB2312" w:hint="eastAsia"/>
          <w:sz w:val="24"/>
          <w:szCs w:val="24"/>
        </w:rPr>
        <w:t>,</w:t>
      </w:r>
      <w:r>
        <w:rPr>
          <w:rFonts w:ascii="仿宋_GB2312" w:eastAsia="仿宋_GB2312" w:hAnsi="宋体" w:cs="仿宋_GB2312" w:hint="eastAsia"/>
          <w:sz w:val="24"/>
          <w:szCs w:val="24"/>
        </w:rPr>
        <w:t>在扣除合理成本之后</w:t>
      </w:r>
      <w:r>
        <w:rPr>
          <w:rFonts w:ascii="仿宋_GB2312" w:eastAsia="仿宋_GB2312" w:hAnsi="宋体" w:cs="仿宋_GB2312" w:hint="eastAsia"/>
          <w:sz w:val="24"/>
          <w:szCs w:val="24"/>
        </w:rPr>
        <w:t>,</w:t>
      </w:r>
      <w:r>
        <w:rPr>
          <w:rFonts w:ascii="仿宋_GB2312" w:eastAsia="仿宋_GB2312" w:hAnsi="宋体" w:cs="仿宋_GB2312" w:hint="eastAsia"/>
          <w:sz w:val="24"/>
          <w:szCs w:val="24"/>
        </w:rPr>
        <w:t>属于业主共有。”对此，有著名律师解释说，该部分收益首先要扣除合理成本，比如开发商建设临停车位的费用、物业公司增加的服务成本等，剩余部分归业主共有，用于冲抵建筑物共有部分的维修资金，或者由业主委员会决定具体用途。</w:t>
      </w:r>
    </w:p>
    <w:p w14:paraId="1B3F5A35"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对于这个新变化，一些物业服务企业和小区居民已经产生了矛盾，对“共有部分产生收入”管理、使用等问题发生分歧，不仅</w:t>
      </w:r>
      <w:proofErr w:type="gramStart"/>
      <w:r>
        <w:rPr>
          <w:rFonts w:ascii="仿宋_GB2312" w:eastAsia="仿宋_GB2312" w:hAnsi="宋体" w:cs="仿宋_GB2312" w:hint="eastAsia"/>
          <w:sz w:val="24"/>
          <w:szCs w:val="24"/>
        </w:rPr>
        <w:t>物业费</w:t>
      </w:r>
      <w:proofErr w:type="gramEnd"/>
      <w:r>
        <w:rPr>
          <w:rFonts w:ascii="仿宋_GB2312" w:eastAsia="仿宋_GB2312" w:hAnsi="宋体" w:cs="仿宋_GB2312" w:hint="eastAsia"/>
          <w:sz w:val="24"/>
          <w:szCs w:val="24"/>
        </w:rPr>
        <w:t>收缴困难，而且激化</w:t>
      </w:r>
      <w:r>
        <w:rPr>
          <w:rFonts w:ascii="仿宋_GB2312" w:eastAsia="仿宋_GB2312" w:hAnsi="宋体" w:cs="仿宋_GB2312" w:hint="eastAsia"/>
          <w:sz w:val="24"/>
          <w:szCs w:val="24"/>
        </w:rPr>
        <w:t>了双方的对立情绪。究其原因，就是新旧法衔接推广执行不到位，而这些工作最好由第三方（政府或司法部门）来完成，才更有权威度和可信度。</w:t>
      </w:r>
    </w:p>
    <w:p w14:paraId="1A3399B0"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物业管理只是一个例子。《民法典》有很多新内容需要</w:t>
      </w:r>
      <w:proofErr w:type="gramStart"/>
      <w:r>
        <w:rPr>
          <w:rFonts w:ascii="仿宋_GB2312" w:eastAsia="仿宋_GB2312" w:hAnsi="宋体" w:cs="仿宋_GB2312" w:hint="eastAsia"/>
          <w:sz w:val="24"/>
          <w:szCs w:val="24"/>
        </w:rPr>
        <w:t>让相关</w:t>
      </w:r>
      <w:proofErr w:type="gramEnd"/>
      <w:r>
        <w:rPr>
          <w:rFonts w:ascii="仿宋_GB2312" w:eastAsia="仿宋_GB2312" w:hAnsi="宋体" w:cs="仿宋_GB2312" w:hint="eastAsia"/>
          <w:sz w:val="24"/>
          <w:szCs w:val="24"/>
        </w:rPr>
        <w:t>企业和群众了解并敬畏，否则恐怕会让某些人以“不知者不罪”“等待相关部门通知”等借口钻空子，更会为日后的社会治安综合治理埋下隐患。</w:t>
      </w:r>
    </w:p>
    <w:p w14:paraId="6F808298"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lastRenderedPageBreak/>
        <w:t>三、新旧法衔接推广工作刻不容缓</w:t>
      </w:r>
    </w:p>
    <w:p w14:paraId="7E7106E2"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依法治国是我国的基本国策，构建社会主义和谐社会是我们的基本目标。制定法律的根本目的，就是树立行为底线和处事标准，唯有在矛盾和案件发生前，统一人们的思想、强化人们的守法</w:t>
      </w:r>
      <w:r>
        <w:rPr>
          <w:rFonts w:ascii="仿宋_GB2312" w:eastAsia="仿宋_GB2312" w:hAnsi="宋体" w:cs="仿宋_GB2312" w:hint="eastAsia"/>
          <w:sz w:val="24"/>
          <w:szCs w:val="24"/>
        </w:rPr>
        <w:t>意识，才能达到最佳的效果。</w:t>
      </w:r>
    </w:p>
    <w:p w14:paraId="2D7F4886"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建议</w:t>
      </w:r>
      <w:proofErr w:type="gramStart"/>
      <w:r>
        <w:rPr>
          <w:rFonts w:ascii="仿宋_GB2312" w:eastAsia="仿宋_GB2312" w:hAnsi="宋体" w:cs="仿宋_GB2312" w:hint="eastAsia"/>
          <w:sz w:val="24"/>
          <w:szCs w:val="24"/>
        </w:rPr>
        <w:t>一</w:t>
      </w:r>
      <w:proofErr w:type="gramEnd"/>
      <w:r>
        <w:rPr>
          <w:rFonts w:ascii="仿宋_GB2312" w:eastAsia="仿宋_GB2312" w:hAnsi="宋体" w:cs="仿宋_GB2312" w:hint="eastAsia"/>
          <w:sz w:val="24"/>
          <w:szCs w:val="24"/>
        </w:rPr>
        <w:t>：政府部门要高度重视新旧法的衔接推广，把普法工作摆上当前重要的日程上来，成立专人专班，发动各种媒体迅速开展相关工作，力争做到家喻户晓。</w:t>
      </w:r>
    </w:p>
    <w:p w14:paraId="15172B19"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建议二：司法单位要发挥职能优势，在办案环节准确把握新旧法衔接的标准，加快审理和曝光一批有代表性的案件，现身说法、以案普法，敲响警钟、加快推广。</w:t>
      </w:r>
    </w:p>
    <w:p w14:paraId="38E0E9D0"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建议三：政法部门要组织热点行业、单位的工作人员集中培训，重点针对本行业涉及新旧法衔接的内容进行讲解和说明，并围绕《民法典》编纂行为手册，明确行业新标准、提供解决突发问题的预案，做到未雨绸缪、有备无患</w:t>
      </w:r>
      <w:r>
        <w:rPr>
          <w:rFonts w:ascii="仿宋_GB2312" w:eastAsia="仿宋_GB2312" w:hAnsi="宋体" w:cs="仿宋_GB2312" w:hint="eastAsia"/>
          <w:sz w:val="24"/>
          <w:szCs w:val="24"/>
        </w:rPr>
        <w:t>。</w:t>
      </w:r>
    </w:p>
    <w:p w14:paraId="4A6355C1"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建议四：教育部门要承担责任，从学生教育入手，制定普法教材，设定普法课程，开展普法活动，让一个孩子带动一个家庭，许多家庭带动整个社会。</w:t>
      </w:r>
    </w:p>
    <w:p w14:paraId="4163D813"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建议五：要号召全社会积极行动起来，通过律师行业协会、法律工作志愿者等社会团体和组织，为有需要的群众提供法律援助，给予专业指导，全面提高新旧法的衔接推广速度和效果。</w:t>
      </w:r>
    </w:p>
    <w:p w14:paraId="64A93277" w14:textId="77777777" w:rsidR="00D54F66" w:rsidRDefault="00012090" w:rsidP="004C6116">
      <w:pPr>
        <w:spacing w:line="360" w:lineRule="exact"/>
        <w:ind w:firstLineChars="200" w:firstLine="480"/>
        <w:jc w:val="left"/>
        <w:rPr>
          <w:rFonts w:ascii="仿宋_GB2312" w:eastAsia="仿宋_GB2312" w:hAnsi="宋体" w:cs="仿宋_GB2312"/>
          <w:sz w:val="24"/>
          <w:szCs w:val="24"/>
        </w:rPr>
      </w:pPr>
      <w:r>
        <w:rPr>
          <w:rFonts w:ascii="仿宋_GB2312" w:eastAsia="仿宋_GB2312" w:hAnsi="宋体" w:cs="仿宋_GB2312" w:hint="eastAsia"/>
          <w:sz w:val="24"/>
          <w:szCs w:val="24"/>
        </w:rPr>
        <w:t>毋容置疑，处理纠纷和审理案件的投入，远远高于事前普法工作的投入。另外，这两种行为的社会影响更不言而喻。《中华人民共和国民法典》已于</w:t>
      </w:r>
      <w:r>
        <w:rPr>
          <w:rFonts w:ascii="仿宋_GB2312" w:eastAsia="仿宋_GB2312" w:hAnsi="宋体" w:cs="仿宋_GB2312" w:hint="eastAsia"/>
          <w:sz w:val="24"/>
          <w:szCs w:val="24"/>
        </w:rPr>
        <w:t>2021</w:t>
      </w:r>
      <w:r>
        <w:rPr>
          <w:rFonts w:ascii="仿宋_GB2312" w:eastAsia="仿宋_GB2312" w:hAnsi="宋体" w:cs="仿宋_GB2312" w:hint="eastAsia"/>
          <w:sz w:val="24"/>
          <w:szCs w:val="24"/>
        </w:rPr>
        <w:t>年</w:t>
      </w:r>
      <w:r>
        <w:rPr>
          <w:rFonts w:ascii="仿宋_GB2312" w:eastAsia="仿宋_GB2312" w:hAnsi="宋体" w:cs="仿宋_GB2312" w:hint="eastAsia"/>
          <w:sz w:val="24"/>
          <w:szCs w:val="24"/>
        </w:rPr>
        <w:t>1</w:t>
      </w:r>
      <w:r>
        <w:rPr>
          <w:rFonts w:ascii="仿宋_GB2312" w:eastAsia="仿宋_GB2312" w:hAnsi="宋体" w:cs="仿宋_GB2312" w:hint="eastAsia"/>
          <w:sz w:val="24"/>
          <w:szCs w:val="24"/>
        </w:rPr>
        <w:t>月</w:t>
      </w:r>
      <w:r>
        <w:rPr>
          <w:rFonts w:ascii="仿宋_GB2312" w:eastAsia="仿宋_GB2312" w:hAnsi="宋体" w:cs="仿宋_GB2312" w:hint="eastAsia"/>
          <w:sz w:val="24"/>
          <w:szCs w:val="24"/>
        </w:rPr>
        <w:t>1</w:t>
      </w:r>
      <w:r>
        <w:rPr>
          <w:rFonts w:ascii="仿宋_GB2312" w:eastAsia="仿宋_GB2312" w:hAnsi="宋体" w:cs="仿宋_GB2312" w:hint="eastAsia"/>
          <w:sz w:val="24"/>
          <w:szCs w:val="24"/>
        </w:rPr>
        <w:t>日正式施行，新旧法的衔接推广工作既任重道远，又刻不容缓，也必将成为经济加快发展和社会长治久安的坚实基石。</w:t>
      </w:r>
    </w:p>
    <w:p w14:paraId="2E411DA6" w14:textId="77777777" w:rsidR="00D54F66" w:rsidRDefault="00D54F66" w:rsidP="004C6116">
      <w:pPr>
        <w:spacing w:line="360" w:lineRule="exact"/>
        <w:ind w:firstLineChars="200" w:firstLine="480"/>
        <w:jc w:val="left"/>
        <w:rPr>
          <w:rFonts w:ascii="仿宋_GB2312" w:eastAsia="仿宋_GB2312" w:hAnsi="宋体" w:cs="仿宋_GB2312"/>
          <w:sz w:val="24"/>
          <w:szCs w:val="24"/>
        </w:rPr>
      </w:pPr>
    </w:p>
    <w:p w14:paraId="58281FB5" w14:textId="77777777" w:rsidR="00D54F66" w:rsidRDefault="00D54F66" w:rsidP="004C6116">
      <w:pPr>
        <w:spacing w:line="360" w:lineRule="exact"/>
        <w:ind w:firstLineChars="200" w:firstLine="480"/>
        <w:jc w:val="left"/>
        <w:rPr>
          <w:rFonts w:ascii="仿宋_GB2312" w:eastAsia="仿宋_GB2312" w:hAnsi="宋体" w:cs="仿宋_GB2312"/>
          <w:sz w:val="24"/>
          <w:szCs w:val="24"/>
        </w:rPr>
      </w:pPr>
    </w:p>
    <w:p w14:paraId="58636D46" w14:textId="77777777" w:rsidR="00D54F66" w:rsidRDefault="00012090" w:rsidP="004C6116">
      <w:pPr>
        <w:spacing w:line="360" w:lineRule="exact"/>
        <w:jc w:val="left"/>
        <w:rPr>
          <w:rFonts w:ascii="仿宋_GB2312" w:eastAsia="仿宋_GB2312" w:hAnsi="宋体" w:cs="仿宋_GB2312"/>
          <w:sz w:val="24"/>
          <w:szCs w:val="24"/>
        </w:rPr>
      </w:pPr>
      <w:r>
        <w:rPr>
          <w:rFonts w:ascii="仿宋_GB2312" w:eastAsia="仿宋_GB2312" w:hAnsi="宋体" w:cs="仿宋_GB2312" w:hint="eastAsia"/>
          <w:sz w:val="24"/>
          <w:szCs w:val="24"/>
        </w:rPr>
        <w:t>参考资料：</w:t>
      </w:r>
    </w:p>
    <w:p w14:paraId="07C826A2" w14:textId="77777777" w:rsidR="00D54F66" w:rsidRDefault="00012090" w:rsidP="004C6116">
      <w:pPr>
        <w:numPr>
          <w:ilvl w:val="0"/>
          <w:numId w:val="2"/>
        </w:numPr>
        <w:spacing w:line="360" w:lineRule="exact"/>
        <w:jc w:val="left"/>
        <w:rPr>
          <w:rFonts w:ascii="仿宋_GB2312" w:eastAsia="仿宋_GB2312" w:hAnsi="宋体" w:cs="仿宋_GB2312"/>
          <w:sz w:val="24"/>
          <w:szCs w:val="24"/>
        </w:rPr>
      </w:pPr>
      <w:r>
        <w:rPr>
          <w:rFonts w:ascii="仿宋_GB2312" w:eastAsia="仿宋_GB2312" w:hAnsi="宋体" w:cs="仿宋_GB2312" w:hint="eastAsia"/>
          <w:sz w:val="24"/>
          <w:szCs w:val="24"/>
        </w:rPr>
        <w:t>公众号：外交学院模拟政协协会</w:t>
      </w:r>
    </w:p>
    <w:p w14:paraId="6965A5E7" w14:textId="77777777" w:rsidR="00D54F66" w:rsidRDefault="00012090" w:rsidP="004C6116">
      <w:pPr>
        <w:numPr>
          <w:ilvl w:val="0"/>
          <w:numId w:val="2"/>
        </w:numPr>
        <w:spacing w:line="360" w:lineRule="exact"/>
        <w:jc w:val="left"/>
        <w:rPr>
          <w:rFonts w:ascii="仿宋_GB2312" w:eastAsia="仿宋_GB2312" w:hAnsi="宋体" w:cs="仿宋_GB2312"/>
          <w:sz w:val="24"/>
          <w:szCs w:val="24"/>
        </w:rPr>
      </w:pPr>
      <w:r>
        <w:rPr>
          <w:rFonts w:ascii="仿宋_GB2312" w:eastAsia="仿宋_GB2312" w:hAnsi="宋体" w:cs="仿宋_GB2312" w:hint="eastAsia"/>
          <w:sz w:val="24"/>
          <w:szCs w:val="24"/>
        </w:rPr>
        <w:t>中国政协网：</w:t>
      </w:r>
      <w:hyperlink r:id="rId8" w:history="1">
        <w:r>
          <w:rPr>
            <w:rStyle w:val="a3"/>
            <w:rFonts w:ascii="仿宋_GB2312" w:eastAsia="仿宋_GB2312" w:hAnsi="宋体" w:cs="仿宋_GB2312" w:hint="eastAsia"/>
            <w:sz w:val="24"/>
            <w:szCs w:val="24"/>
          </w:rPr>
          <w:t>http://www.cppcc.gov.cn/</w:t>
        </w:r>
      </w:hyperlink>
    </w:p>
    <w:p w14:paraId="2B764285" w14:textId="77777777" w:rsidR="00D54F66" w:rsidRDefault="00012090" w:rsidP="004C6116">
      <w:pPr>
        <w:numPr>
          <w:ilvl w:val="0"/>
          <w:numId w:val="2"/>
        </w:numPr>
        <w:spacing w:line="360" w:lineRule="exact"/>
        <w:jc w:val="left"/>
        <w:rPr>
          <w:rFonts w:ascii="仿宋_GB2312" w:eastAsia="仿宋_GB2312" w:hAnsi="宋体" w:cs="仿宋_GB2312"/>
          <w:sz w:val="24"/>
          <w:szCs w:val="24"/>
        </w:rPr>
      </w:pPr>
      <w:r>
        <w:rPr>
          <w:rFonts w:ascii="仿宋_GB2312" w:eastAsia="仿宋_GB2312" w:hAnsi="宋体" w:cs="仿宋_GB2312" w:hint="eastAsia"/>
          <w:sz w:val="24"/>
          <w:szCs w:val="24"/>
        </w:rPr>
        <w:t>中国人民政治协商会议北京市委员会：</w:t>
      </w:r>
      <w:hyperlink r:id="rId9" w:history="1">
        <w:r>
          <w:rPr>
            <w:rStyle w:val="a3"/>
            <w:rFonts w:ascii="仿宋_GB2312" w:eastAsia="仿宋_GB2312" w:hAnsi="宋体" w:cs="仿宋_GB2312" w:hint="eastAsia"/>
            <w:sz w:val="24"/>
            <w:szCs w:val="24"/>
          </w:rPr>
          <w:t>http://www.bjzx.gov.cn/</w:t>
        </w:r>
      </w:hyperlink>
    </w:p>
    <w:p w14:paraId="0CD0313B" w14:textId="77777777" w:rsidR="00D54F66" w:rsidRDefault="00D54F66" w:rsidP="004C6116">
      <w:pPr>
        <w:spacing w:line="360" w:lineRule="exact"/>
      </w:pPr>
    </w:p>
    <w:p w14:paraId="24FB287E" w14:textId="77777777" w:rsidR="00D54F66" w:rsidRDefault="00012090">
      <w:pPr>
        <w:tabs>
          <w:tab w:val="left" w:pos="7387"/>
        </w:tabs>
        <w:jc w:val="left"/>
      </w:pPr>
      <w:r>
        <w:rPr>
          <w:rFonts w:hint="eastAsia"/>
        </w:rPr>
        <w:tab/>
      </w:r>
    </w:p>
    <w:sectPr w:rsidR="00D54F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F0D1B" w14:textId="77777777" w:rsidR="00012090" w:rsidRDefault="00012090" w:rsidP="0011240D">
      <w:r>
        <w:separator/>
      </w:r>
    </w:p>
  </w:endnote>
  <w:endnote w:type="continuationSeparator" w:id="0">
    <w:p w14:paraId="182B7D99" w14:textId="77777777" w:rsidR="00012090" w:rsidRDefault="00012090" w:rsidP="0011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95BC6" w14:textId="77777777" w:rsidR="00012090" w:rsidRDefault="00012090" w:rsidP="0011240D">
      <w:r>
        <w:separator/>
      </w:r>
    </w:p>
  </w:footnote>
  <w:footnote w:type="continuationSeparator" w:id="0">
    <w:p w14:paraId="4ADF45C5" w14:textId="77777777" w:rsidR="00012090" w:rsidRDefault="00012090" w:rsidP="00112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75F9A8"/>
    <w:multiLevelType w:val="singleLevel"/>
    <w:tmpl w:val="C675F9A8"/>
    <w:lvl w:ilvl="0">
      <w:start w:val="1"/>
      <w:numFmt w:val="decimal"/>
      <w:lvlText w:val="%1."/>
      <w:lvlJc w:val="left"/>
      <w:pPr>
        <w:tabs>
          <w:tab w:val="left" w:pos="312"/>
        </w:tabs>
      </w:pPr>
    </w:lvl>
  </w:abstractNum>
  <w:abstractNum w:abstractNumId="1" w15:restartNumberingAfterBreak="0">
    <w:nsid w:val="44C86A48"/>
    <w:multiLevelType w:val="multilevel"/>
    <w:tmpl w:val="44C86A48"/>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ODgwYjU1OTMzMDJlZjJjZTAzYmY5OTg0ZWViNWZlOTgifQ=="/>
  </w:docVars>
  <w:rsids>
    <w:rsidRoot w:val="008A12BC"/>
    <w:rsid w:val="00012090"/>
    <w:rsid w:val="00035CBA"/>
    <w:rsid w:val="000478FD"/>
    <w:rsid w:val="00086F73"/>
    <w:rsid w:val="000B6B80"/>
    <w:rsid w:val="00105E40"/>
    <w:rsid w:val="0011240D"/>
    <w:rsid w:val="00185CB4"/>
    <w:rsid w:val="001905BA"/>
    <w:rsid w:val="001966DC"/>
    <w:rsid w:val="001D1141"/>
    <w:rsid w:val="0024041D"/>
    <w:rsid w:val="002A4936"/>
    <w:rsid w:val="002C636E"/>
    <w:rsid w:val="002E7107"/>
    <w:rsid w:val="00326D93"/>
    <w:rsid w:val="00353CAB"/>
    <w:rsid w:val="00373821"/>
    <w:rsid w:val="00375512"/>
    <w:rsid w:val="003960D7"/>
    <w:rsid w:val="00400C0F"/>
    <w:rsid w:val="004C6116"/>
    <w:rsid w:val="004C6B4D"/>
    <w:rsid w:val="0053781C"/>
    <w:rsid w:val="00544410"/>
    <w:rsid w:val="0054691A"/>
    <w:rsid w:val="00573D2A"/>
    <w:rsid w:val="0057755E"/>
    <w:rsid w:val="005D19A3"/>
    <w:rsid w:val="00631CFF"/>
    <w:rsid w:val="00650A11"/>
    <w:rsid w:val="006563BF"/>
    <w:rsid w:val="0066283A"/>
    <w:rsid w:val="006818B5"/>
    <w:rsid w:val="00694D84"/>
    <w:rsid w:val="00696898"/>
    <w:rsid w:val="006D616E"/>
    <w:rsid w:val="00701036"/>
    <w:rsid w:val="00701EE2"/>
    <w:rsid w:val="00705C4F"/>
    <w:rsid w:val="00763D3F"/>
    <w:rsid w:val="007857CA"/>
    <w:rsid w:val="0078699B"/>
    <w:rsid w:val="007E3571"/>
    <w:rsid w:val="00800C95"/>
    <w:rsid w:val="00810B52"/>
    <w:rsid w:val="008204CC"/>
    <w:rsid w:val="008516C3"/>
    <w:rsid w:val="00883B83"/>
    <w:rsid w:val="00897257"/>
    <w:rsid w:val="008A12BC"/>
    <w:rsid w:val="008B7211"/>
    <w:rsid w:val="008C2FB1"/>
    <w:rsid w:val="008C6E03"/>
    <w:rsid w:val="008E766F"/>
    <w:rsid w:val="00904D07"/>
    <w:rsid w:val="00917899"/>
    <w:rsid w:val="009521C5"/>
    <w:rsid w:val="009638DF"/>
    <w:rsid w:val="00966010"/>
    <w:rsid w:val="00995FEE"/>
    <w:rsid w:val="009A6E00"/>
    <w:rsid w:val="009C1E97"/>
    <w:rsid w:val="009D4FF6"/>
    <w:rsid w:val="009F5F20"/>
    <w:rsid w:val="00A00BC1"/>
    <w:rsid w:val="00A809D2"/>
    <w:rsid w:val="00AA54E0"/>
    <w:rsid w:val="00AC4AD0"/>
    <w:rsid w:val="00B233B5"/>
    <w:rsid w:val="00B507B7"/>
    <w:rsid w:val="00B50F10"/>
    <w:rsid w:val="00B84403"/>
    <w:rsid w:val="00BA4B82"/>
    <w:rsid w:val="00BD0ABE"/>
    <w:rsid w:val="00C24C2E"/>
    <w:rsid w:val="00C43632"/>
    <w:rsid w:val="00C77978"/>
    <w:rsid w:val="00C838E0"/>
    <w:rsid w:val="00C95EE0"/>
    <w:rsid w:val="00D14ADD"/>
    <w:rsid w:val="00D54F66"/>
    <w:rsid w:val="00D659EC"/>
    <w:rsid w:val="00D83B8D"/>
    <w:rsid w:val="00DA1437"/>
    <w:rsid w:val="00DA161C"/>
    <w:rsid w:val="00DD1711"/>
    <w:rsid w:val="00DD56EB"/>
    <w:rsid w:val="00E36931"/>
    <w:rsid w:val="00E37C6E"/>
    <w:rsid w:val="00E538EB"/>
    <w:rsid w:val="00E6289E"/>
    <w:rsid w:val="00E86D5C"/>
    <w:rsid w:val="00E951C1"/>
    <w:rsid w:val="00EC6FF1"/>
    <w:rsid w:val="00ED06D4"/>
    <w:rsid w:val="00ED7C87"/>
    <w:rsid w:val="00F130C9"/>
    <w:rsid w:val="00F3226F"/>
    <w:rsid w:val="00F34CB5"/>
    <w:rsid w:val="00F34D18"/>
    <w:rsid w:val="00F7364F"/>
    <w:rsid w:val="00F75B95"/>
    <w:rsid w:val="00FA5CBF"/>
    <w:rsid w:val="00FC4851"/>
    <w:rsid w:val="00FC5DC3"/>
    <w:rsid w:val="00FE01DC"/>
    <w:rsid w:val="00FE6E1C"/>
    <w:rsid w:val="01E85215"/>
    <w:rsid w:val="0E170FFF"/>
    <w:rsid w:val="2FC71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8B016F"/>
  <w15:docId w15:val="{0B20E16C-C294-4329-8FBF-22F33451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
    <w:qFormat/>
    <w:pPr>
      <w:keepNext/>
      <w:keepLines/>
      <w:numPr>
        <w:numId w:val="1"/>
      </w:numPr>
      <w:spacing w:before="340" w:after="330" w:line="578" w:lineRule="auto"/>
      <w:outlineLvl w:val="0"/>
    </w:pPr>
    <w:rPr>
      <w:rFonts w:ascii="Times New Roman" w:eastAsia="宋体" w:hAnsi="Times New Roman" w:cs="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800080"/>
      <w:u w:val="single"/>
    </w:rPr>
  </w:style>
  <w:style w:type="character" w:styleId="a4">
    <w:name w:val="Hyperlink"/>
    <w:basedOn w:val="a0"/>
    <w:uiPriority w:val="99"/>
    <w:semiHidden/>
    <w:unhideWhenUsed/>
    <w:rPr>
      <w:color w:val="0000FF"/>
      <w:u w:val="single"/>
    </w:rPr>
  </w:style>
  <w:style w:type="character" w:customStyle="1" w:styleId="10">
    <w:name w:val="标题 1 字符"/>
    <w:basedOn w:val="a0"/>
    <w:link w:val="1"/>
    <w:uiPriority w:val="9"/>
    <w:rPr>
      <w:rFonts w:ascii="Times New Roman" w:eastAsia="宋体" w:hAnsi="Times New Roman" w:cs="Times New Roman"/>
      <w:b/>
      <w:bCs/>
      <w:kern w:val="44"/>
      <w:sz w:val="28"/>
      <w:szCs w:val="44"/>
    </w:rPr>
  </w:style>
  <w:style w:type="table" w:customStyle="1" w:styleId="sanxian">
    <w:name w:val="sanxian"/>
    <w:basedOn w:val="a1"/>
    <w:uiPriority w:val="99"/>
    <w:pPr>
      <w:jc w:val="both"/>
    </w:pPr>
    <w:rPr>
      <w:rFonts w:ascii="Times New Roman" w:eastAsia="宋体" w:hAnsi="Times New Roman" w:cs="Times New Roman"/>
    </w:rPr>
    <w:tblPr>
      <w:tblBorders>
        <w:top w:val="single" w:sz="8" w:space="0" w:color="auto"/>
        <w:bottom w:val="single" w:sz="8" w:space="0" w:color="auto"/>
      </w:tblBorders>
    </w:tblPr>
    <w:tcPr>
      <w:vAlign w:val="center"/>
    </w:tcPr>
  </w:style>
  <w:style w:type="paragraph" w:styleId="a5">
    <w:name w:val="header"/>
    <w:basedOn w:val="a"/>
    <w:link w:val="a6"/>
    <w:uiPriority w:val="99"/>
    <w:unhideWhenUsed/>
    <w:rsid w:val="0011240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1240D"/>
    <w:rPr>
      <w:kern w:val="2"/>
      <w:sz w:val="18"/>
      <w:szCs w:val="18"/>
      <w14:ligatures w14:val="standardContextual"/>
    </w:rPr>
  </w:style>
  <w:style w:type="paragraph" w:styleId="a7">
    <w:name w:val="footer"/>
    <w:basedOn w:val="a"/>
    <w:link w:val="a8"/>
    <w:uiPriority w:val="99"/>
    <w:unhideWhenUsed/>
    <w:rsid w:val="0011240D"/>
    <w:pPr>
      <w:tabs>
        <w:tab w:val="center" w:pos="4153"/>
        <w:tab w:val="right" w:pos="8306"/>
      </w:tabs>
      <w:snapToGrid w:val="0"/>
      <w:jc w:val="left"/>
    </w:pPr>
    <w:rPr>
      <w:sz w:val="18"/>
      <w:szCs w:val="18"/>
    </w:rPr>
  </w:style>
  <w:style w:type="character" w:customStyle="1" w:styleId="a8">
    <w:name w:val="页脚 字符"/>
    <w:basedOn w:val="a0"/>
    <w:link w:val="a7"/>
    <w:uiPriority w:val="99"/>
    <w:rsid w:val="0011240D"/>
    <w:rPr>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ppcc.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jzx.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3315-FE3B-45F6-BF2B-8F6FD1B81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913</Words>
  <Characters>5207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 wang</dc:creator>
  <cp:lastModifiedBy>Lenovo</cp:lastModifiedBy>
  <cp:revision>12</cp:revision>
  <dcterms:created xsi:type="dcterms:W3CDTF">2024-09-09T05:23:00Z</dcterms:created>
  <dcterms:modified xsi:type="dcterms:W3CDTF">2024-09-12T05:21:00Z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0B4A5B9E508444F78E00537430480F38_12</vt:lpwstr>
  </property>
</Properties>
</file>