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D185F">
      <w:pPr>
        <w:tabs>
          <w:tab w:val="left" w:pos="8640"/>
        </w:tabs>
        <w:adjustRightInd w:val="0"/>
        <w:snapToGrid w:val="0"/>
        <w:spacing w:line="560" w:lineRule="exact"/>
        <w:jc w:val="center"/>
        <w:rPr>
          <w:rFonts w:ascii="方正小标宋简体" w:eastAsia="方正小标宋简体"/>
          <w:bCs/>
          <w:sz w:val="44"/>
          <w:szCs w:val="44"/>
        </w:rPr>
      </w:pPr>
      <w:r>
        <w:rPr>
          <w:rFonts w:hint="eastAsia" w:ascii="方正小标宋简体" w:eastAsia="方正小标宋简体"/>
          <w:bCs/>
          <w:sz w:val="44"/>
          <w:szCs w:val="44"/>
        </w:rPr>
        <w:t>校级实践育人基地实践项目申报表</w:t>
      </w:r>
    </w:p>
    <w:p w14:paraId="3086FAA4">
      <w:pPr>
        <w:tabs>
          <w:tab w:val="left" w:pos="8640"/>
        </w:tabs>
        <w:adjustRightInd w:val="0"/>
        <w:snapToGrid w:val="0"/>
        <w:spacing w:line="560" w:lineRule="exact"/>
        <w:jc w:val="center"/>
        <w:rPr>
          <w:rFonts w:ascii="方正小标宋简体" w:eastAsia="方正小标宋简体"/>
          <w:bCs/>
          <w:sz w:val="44"/>
          <w:szCs w:val="44"/>
        </w:rPr>
      </w:pPr>
    </w:p>
    <w:p w14:paraId="3D067601">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一、</w:t>
      </w:r>
      <w:r>
        <w:rPr>
          <w:rFonts w:hint="eastAsia" w:ascii="黑体" w:hAnsi="黑体" w:eastAsia="黑体" w:cs="黑体"/>
          <w:bCs/>
          <w:spacing w:val="6"/>
          <w:sz w:val="32"/>
          <w:szCs w:val="32"/>
          <w:lang w:val="en-US"/>
        </w:rPr>
        <w:t>校级实践育人基地单位信息</w:t>
      </w:r>
    </w:p>
    <w:tbl>
      <w:tblPr>
        <w:tblStyle w:val="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076"/>
        <w:gridCol w:w="1073"/>
        <w:gridCol w:w="2783"/>
      </w:tblGrid>
      <w:tr w14:paraId="1ECD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668" w:type="dxa"/>
            <w:vAlign w:val="center"/>
          </w:tcPr>
          <w:p w14:paraId="06559799">
            <w:pPr>
              <w:adjustRightInd w:val="0"/>
              <w:spacing w:line="40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rPr>
              <w:t>单位</w:t>
            </w:r>
          </w:p>
        </w:tc>
        <w:tc>
          <w:tcPr>
            <w:tcW w:w="6932" w:type="dxa"/>
            <w:gridSpan w:val="3"/>
            <w:vAlign w:val="center"/>
          </w:tcPr>
          <w:p w14:paraId="1063F4AB">
            <w:pPr>
              <w:spacing w:line="400" w:lineRule="exact"/>
              <w:jc w:val="center"/>
              <w:textAlignment w:val="center"/>
              <w:rPr>
                <w:rFonts w:hint="eastAsia" w:ascii="仿宋_GB2312" w:hAnsi="仿宋_GB2312" w:eastAsia="仿宋_GB2312" w:cs="仿宋_GB2312"/>
                <w:color w:val="000000"/>
                <w:sz w:val="32"/>
                <w:szCs w:val="32"/>
                <w:lang w:val="en-US"/>
              </w:rPr>
            </w:pPr>
            <w:r>
              <w:rPr>
                <w:rFonts w:hint="eastAsia" w:ascii="仿宋" w:hAnsi="仿宋" w:eastAsia="仿宋" w:cs="仿宋"/>
                <w:bCs/>
                <w:spacing w:val="6"/>
                <w:sz w:val="28"/>
                <w:szCs w:val="28"/>
                <w:lang w:val="en-US"/>
              </w:rPr>
              <w:t>北京市慕田峪长城旅游服务有限公司</w:t>
            </w:r>
          </w:p>
        </w:tc>
      </w:tr>
      <w:tr w14:paraId="4E86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668" w:type="dxa"/>
            <w:vAlign w:val="center"/>
          </w:tcPr>
          <w:p w14:paraId="148A0CA7">
            <w:pPr>
              <w:adjustRightInd w:val="0"/>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单位</w:t>
            </w:r>
            <w:r>
              <w:rPr>
                <w:rFonts w:hint="eastAsia" w:ascii="仿宋_GB2312" w:hAnsi="仿宋_GB2312" w:eastAsia="仿宋_GB2312" w:cs="仿宋_GB2312"/>
                <w:sz w:val="32"/>
                <w:szCs w:val="32"/>
              </w:rPr>
              <w:t>简介</w:t>
            </w:r>
          </w:p>
        </w:tc>
        <w:tc>
          <w:tcPr>
            <w:tcW w:w="6932" w:type="dxa"/>
            <w:gridSpan w:val="3"/>
            <w:vAlign w:val="center"/>
          </w:tcPr>
          <w:p w14:paraId="2FCC4EF1">
            <w:pPr>
              <w:adjustRightInd w:val="0"/>
              <w:spacing w:line="400" w:lineRule="exact"/>
              <w:ind w:firstLine="584" w:firstLineChars="200"/>
              <w:rPr>
                <w:rFonts w:hint="eastAsia" w:ascii="仿宋" w:hAnsi="仿宋" w:eastAsia="仿宋" w:cs="仿宋"/>
                <w:bCs/>
                <w:spacing w:val="6"/>
                <w:sz w:val="28"/>
                <w:szCs w:val="28"/>
                <w:lang w:val="en-US"/>
              </w:rPr>
            </w:pPr>
            <w:r>
              <w:rPr>
                <w:rFonts w:hint="eastAsia" w:ascii="仿宋" w:hAnsi="仿宋" w:eastAsia="仿宋" w:cs="仿宋"/>
                <w:bCs/>
                <w:spacing w:val="6"/>
                <w:sz w:val="28"/>
                <w:szCs w:val="28"/>
                <w:lang w:val="en-US"/>
              </w:rPr>
              <w:t>慕田峪长城，位于北京市怀柔区，作为明长城的精华段落，以“雄、奇、险、秀”的自然风貌和深厚的历史文化底蕴著称于世。景区生态优良，植被覆盖率高达96%，是自然与人文和谐共生的典范。作为国家5A级景区及全球游客占比达40%的国际知名景区，慕田峪长城不仅是旅游胜地，更是中国特色大国外交的重要舞台。景区积极服务于北京“四个中心”功能定位和怀柔区以科学城为统领的“1+3”融合发展战略，通过建设长城精神传承馆、长城国际会客厅，举办文化交流活动，开发特色文创产品，向世界展示长城所蕴含的爱国精神、民族精神和和平精神，传递中国和平发展的理念和构建人类命运共同体的愿景。</w:t>
            </w:r>
          </w:p>
          <w:p w14:paraId="50A007C6">
            <w:pPr>
              <w:adjustRightInd w:val="0"/>
              <w:spacing w:line="400" w:lineRule="exact"/>
              <w:ind w:firstLine="584" w:firstLineChars="200"/>
              <w:rPr>
                <w:rFonts w:hint="eastAsia" w:ascii="仿宋" w:hAnsi="仿宋" w:eastAsia="仿宋" w:cs="仿宋"/>
                <w:bCs/>
                <w:spacing w:val="6"/>
                <w:sz w:val="28"/>
                <w:szCs w:val="28"/>
                <w:lang w:val="en-US"/>
              </w:rPr>
            </w:pPr>
            <w:r>
              <w:rPr>
                <w:rFonts w:hint="eastAsia" w:ascii="仿宋" w:hAnsi="仿宋" w:eastAsia="仿宋" w:cs="仿宋"/>
                <w:bCs/>
                <w:spacing w:val="6"/>
                <w:sz w:val="28"/>
                <w:szCs w:val="28"/>
                <w:lang w:val="en-US"/>
              </w:rPr>
              <w:t>慕田峪长城已成功接待百余位国际政要，完成多项重大外事活动，成为跨文明对话的桥梁，多次荣登全球最大旅游网站猫途鹰“全球十大世界遗产”榜单、“最佳地标”榜单，2024年作为唯一入选的中国景点，荣登亚洲十大热门旅游景点榜单第3位；同年入选“入境游客喜爱的十个景区度假区”，打造北京对外国际交往的名片，彰显了在国际旅游和文化交流中的重要地位。</w:t>
            </w:r>
          </w:p>
        </w:tc>
      </w:tr>
      <w:tr w14:paraId="1070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68" w:type="dxa"/>
            <w:vAlign w:val="center"/>
          </w:tcPr>
          <w:p w14:paraId="2B93AD53">
            <w:pPr>
              <w:adjustRightInd w:val="0"/>
              <w:spacing w:line="400" w:lineRule="exact"/>
              <w:jc w:val="center"/>
              <w:rPr>
                <w:rFonts w:hint="eastAsia" w:ascii="仿宋_GB2312" w:hAnsi="仿宋_GB2312" w:eastAsia="仿宋_GB2312" w:cs="仿宋_GB2312"/>
                <w:bCs/>
                <w:spacing w:val="6"/>
                <w:sz w:val="32"/>
                <w:szCs w:val="32"/>
              </w:rPr>
            </w:pPr>
            <w:r>
              <w:rPr>
                <w:rFonts w:hint="eastAsia" w:ascii="仿宋_GB2312" w:hAnsi="仿宋_GB2312" w:eastAsia="仿宋_GB2312" w:cs="仿宋_GB2312"/>
                <w:sz w:val="32"/>
                <w:szCs w:val="32"/>
                <w:lang w:val="en-US"/>
              </w:rPr>
              <w:t>联系人</w:t>
            </w:r>
          </w:p>
        </w:tc>
        <w:tc>
          <w:tcPr>
            <w:tcW w:w="3076" w:type="dxa"/>
            <w:vAlign w:val="center"/>
          </w:tcPr>
          <w:p w14:paraId="2CF70CAF">
            <w:pPr>
              <w:adjustRightInd w:val="0"/>
              <w:spacing w:line="400" w:lineRule="exact"/>
              <w:jc w:val="center"/>
              <w:rPr>
                <w:rFonts w:hint="eastAsia" w:ascii="仿宋_GB2312" w:hAnsi="仿宋_GB2312" w:eastAsia="仿宋_GB2312" w:cs="仿宋_GB2312"/>
                <w:bCs/>
                <w:spacing w:val="6"/>
                <w:sz w:val="32"/>
                <w:szCs w:val="32"/>
                <w:lang w:val="en-US"/>
              </w:rPr>
            </w:pPr>
            <w:bookmarkStart w:id="0" w:name="OLE_LINK4"/>
            <w:r>
              <w:rPr>
                <w:rFonts w:hint="eastAsia" w:ascii="仿宋" w:hAnsi="仿宋" w:eastAsia="仿宋" w:cs="仿宋"/>
                <w:bCs/>
                <w:spacing w:val="6"/>
                <w:sz w:val="28"/>
                <w:szCs w:val="28"/>
                <w:lang w:val="en-US"/>
              </w:rPr>
              <w:t>斯琴</w:t>
            </w:r>
            <w:bookmarkEnd w:id="0"/>
          </w:p>
        </w:tc>
        <w:tc>
          <w:tcPr>
            <w:tcW w:w="1073" w:type="dxa"/>
            <w:vAlign w:val="center"/>
          </w:tcPr>
          <w:p w14:paraId="3B7A0706">
            <w:pPr>
              <w:adjustRightInd w:val="0"/>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手机</w:t>
            </w:r>
          </w:p>
        </w:tc>
        <w:tc>
          <w:tcPr>
            <w:tcW w:w="2783" w:type="dxa"/>
            <w:vAlign w:val="center"/>
          </w:tcPr>
          <w:p w14:paraId="1CACB5AC">
            <w:pPr>
              <w:adjustRightInd w:val="0"/>
              <w:spacing w:line="400" w:lineRule="exact"/>
              <w:jc w:val="center"/>
              <w:rPr>
                <w:rFonts w:hint="eastAsia" w:ascii="仿宋_GB2312" w:hAnsi="仿宋_GB2312" w:eastAsia="仿宋_GB2312" w:cs="仿宋_GB2312"/>
                <w:sz w:val="32"/>
                <w:szCs w:val="32"/>
              </w:rPr>
            </w:pPr>
            <w:r>
              <w:rPr>
                <w:rFonts w:hint="eastAsia" w:ascii="仿宋" w:hAnsi="仿宋" w:eastAsia="仿宋" w:cs="仿宋"/>
                <w:bCs/>
                <w:spacing w:val="6"/>
                <w:sz w:val="28"/>
                <w:szCs w:val="28"/>
                <w:lang w:val="en-US"/>
              </w:rPr>
              <w:t>15901166291</w:t>
            </w:r>
          </w:p>
        </w:tc>
      </w:tr>
    </w:tbl>
    <w:p w14:paraId="0BBC3543">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二、</w:t>
      </w:r>
      <w:r>
        <w:rPr>
          <w:rFonts w:hint="eastAsia" w:ascii="黑体" w:hAnsi="黑体" w:eastAsia="黑体" w:cs="黑体"/>
          <w:bCs/>
          <w:spacing w:val="6"/>
          <w:sz w:val="32"/>
          <w:szCs w:val="32"/>
          <w:lang w:val="en-US"/>
        </w:rPr>
        <w:t>实践</w:t>
      </w:r>
      <w:r>
        <w:rPr>
          <w:rFonts w:hint="eastAsia" w:ascii="黑体" w:hAnsi="黑体" w:eastAsia="黑体" w:cs="黑体"/>
          <w:bCs/>
          <w:spacing w:val="6"/>
          <w:sz w:val="32"/>
          <w:szCs w:val="32"/>
        </w:rPr>
        <w:t>选题说明</w:t>
      </w:r>
    </w:p>
    <w:tbl>
      <w:tblPr>
        <w:tblStyle w:val="5"/>
        <w:tblW w:w="86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87"/>
        <w:gridCol w:w="6724"/>
      </w:tblGrid>
      <w:tr w14:paraId="5A6626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887" w:type="dxa"/>
            <w:tcBorders>
              <w:tl2br w:val="nil"/>
              <w:tr2bl w:val="nil"/>
            </w:tcBorders>
            <w:shd w:val="clear" w:color="auto" w:fill="FFFFFF"/>
            <w:vAlign w:val="center"/>
          </w:tcPr>
          <w:p w14:paraId="5A39272D">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w:t>
            </w:r>
          </w:p>
        </w:tc>
        <w:tc>
          <w:tcPr>
            <w:tcW w:w="6724" w:type="dxa"/>
            <w:tcBorders>
              <w:tl2br w:val="nil"/>
              <w:tr2bl w:val="nil"/>
            </w:tcBorders>
            <w:shd w:val="clear" w:color="auto" w:fill="FFFFFF"/>
            <w:vAlign w:val="center"/>
          </w:tcPr>
          <w:p w14:paraId="001C8D2F">
            <w:pPr>
              <w:adjustRightInd w:val="0"/>
              <w:spacing w:line="440" w:lineRule="exact"/>
              <w:jc w:val="center"/>
              <w:rPr>
                <w:rFonts w:hint="eastAsia" w:ascii="仿宋_GB2312" w:hAnsi="仿宋_GB2312" w:eastAsia="仿宋_GB2312" w:cs="仿宋_GB2312"/>
                <w:sz w:val="32"/>
                <w:szCs w:val="32"/>
                <w:lang w:val="en-US"/>
              </w:rPr>
            </w:pPr>
            <w:r>
              <w:rPr>
                <w:rFonts w:hint="eastAsia" w:ascii="仿宋" w:hAnsi="仿宋" w:eastAsia="仿宋" w:cs="仿宋"/>
                <w:sz w:val="28"/>
                <w:szCs w:val="28"/>
                <w:lang w:val="en-US"/>
              </w:rPr>
              <w:t>多维赋能与创新驱动下慕田峪长城文化传承与发展实践研究</w:t>
            </w:r>
          </w:p>
        </w:tc>
      </w:tr>
      <w:tr w14:paraId="6D2CE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771" w:hRule="atLeast"/>
          <w:jc w:val="center"/>
        </w:trPr>
        <w:tc>
          <w:tcPr>
            <w:tcW w:w="1887" w:type="dxa"/>
            <w:tcBorders>
              <w:tl2br w:val="nil"/>
              <w:tr2bl w:val="nil"/>
            </w:tcBorders>
            <w:shd w:val="clear" w:color="auto" w:fill="FFFFFF"/>
            <w:vAlign w:val="center"/>
          </w:tcPr>
          <w:p w14:paraId="52250099">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题目介绍</w:t>
            </w:r>
          </w:p>
        </w:tc>
        <w:tc>
          <w:tcPr>
            <w:tcW w:w="6724" w:type="dxa"/>
            <w:tcBorders>
              <w:tl2br w:val="nil"/>
              <w:tr2bl w:val="nil"/>
            </w:tcBorders>
            <w:shd w:val="clear" w:color="auto" w:fill="FFFFFF"/>
            <w:vAlign w:val="center"/>
          </w:tcPr>
          <w:p w14:paraId="3E12B121">
            <w:pPr>
              <w:adjustRightInd w:val="0"/>
              <w:snapToGrid w:val="0"/>
              <w:spacing w:line="440" w:lineRule="exact"/>
              <w:ind w:firstLine="584" w:firstLineChars="200"/>
              <w:jc w:val="both"/>
              <w:rPr>
                <w:rFonts w:hint="eastAsia" w:ascii="仿宋" w:hAnsi="仿宋" w:eastAsia="仿宋" w:cs="仿宋"/>
                <w:bCs/>
                <w:spacing w:val="6"/>
                <w:sz w:val="28"/>
                <w:szCs w:val="28"/>
                <w:lang w:val="en-US"/>
              </w:rPr>
            </w:pPr>
            <w:r>
              <w:rPr>
                <w:rFonts w:hint="eastAsia" w:ascii="仿宋" w:hAnsi="仿宋" w:eastAsia="仿宋" w:cs="仿宋"/>
                <w:bCs/>
                <w:spacing w:val="6"/>
                <w:sz w:val="28"/>
                <w:szCs w:val="28"/>
                <w:lang w:val="en-US"/>
              </w:rPr>
              <w:t>在文化强国战略深入推进的时代背景下，长城作为中华民族的精神象征，承载着深厚的历史文化内涵。慕田峪长城作为长城的重要组成部分，在长城文化建设、传承长城文化精神以及传播民族文化方面已取得一定成果，但仍存在提升空间。本命题聚焦慕田峪长城，旨在通过多维赋能与创新驱动，探索其文化传承与发展的优化路径。</w:t>
            </w:r>
          </w:p>
          <w:p w14:paraId="6E221574">
            <w:pPr>
              <w:adjustRightInd w:val="0"/>
              <w:snapToGrid w:val="0"/>
              <w:spacing w:line="440" w:lineRule="exact"/>
              <w:ind w:firstLine="584" w:firstLineChars="200"/>
              <w:jc w:val="both"/>
              <w:rPr>
                <w:rFonts w:hint="eastAsia" w:ascii="仿宋" w:hAnsi="仿宋" w:eastAsia="仿宋" w:cs="仿宋"/>
                <w:bCs/>
                <w:spacing w:val="6"/>
                <w:sz w:val="28"/>
                <w:szCs w:val="28"/>
                <w:lang w:val="en-US"/>
              </w:rPr>
            </w:pPr>
            <w:r>
              <w:rPr>
                <w:rFonts w:hint="eastAsia" w:ascii="仿宋" w:hAnsi="仿宋" w:eastAsia="仿宋" w:cs="仿宋"/>
                <w:bCs/>
                <w:spacing w:val="6"/>
                <w:sz w:val="28"/>
                <w:szCs w:val="28"/>
                <w:lang w:val="en-US"/>
              </w:rPr>
              <w:t>“多维赋能”强调从文化内涵挖掘、旅游产品开发、数字化技术应用、社区参与共建等多个维度，为慕田峪长城文化建设注入新活力。例如：深入研究慕田峪长城的历史故事、军事文化、建筑特色，提炼独特文化符号；结合现代旅游需求，开发沉浸式体验、研学旅行等新型旅游产品；运用虚拟现实（</w:t>
            </w:r>
            <w:r>
              <w:rPr>
                <w:rFonts w:ascii="仿宋" w:hAnsi="仿宋" w:eastAsia="仿宋" w:cs="仿宋"/>
                <w:bCs/>
                <w:spacing w:val="6"/>
                <w:sz w:val="28"/>
                <w:szCs w:val="28"/>
                <w:lang w:val="en-US"/>
              </w:rPr>
              <w:t>VR</w:t>
            </w:r>
            <w:r>
              <w:rPr>
                <w:rFonts w:hint="eastAsia" w:ascii="仿宋" w:hAnsi="仿宋" w:eastAsia="仿宋" w:cs="仿宋"/>
                <w:bCs/>
                <w:spacing w:val="6"/>
                <w:sz w:val="28"/>
                <w:szCs w:val="28"/>
                <w:lang w:val="en-US"/>
              </w:rPr>
              <w:t>）、增强现实（</w:t>
            </w:r>
            <w:r>
              <w:rPr>
                <w:rFonts w:ascii="仿宋" w:hAnsi="仿宋" w:eastAsia="仿宋" w:cs="仿宋"/>
                <w:bCs/>
                <w:spacing w:val="6"/>
                <w:sz w:val="28"/>
                <w:szCs w:val="28"/>
                <w:lang w:val="en-US"/>
              </w:rPr>
              <w:t>AR</w:t>
            </w:r>
            <w:r>
              <w:rPr>
                <w:rFonts w:hint="eastAsia" w:ascii="仿宋" w:hAnsi="仿宋" w:eastAsia="仿宋" w:cs="仿宋"/>
                <w:bCs/>
                <w:spacing w:val="6"/>
                <w:sz w:val="28"/>
                <w:szCs w:val="28"/>
                <w:lang w:val="en-US"/>
              </w:rPr>
              <w:t>）、大数据等数字化技术，打造线上线下融合的文化传播新场景；鼓励周边社区居民参与长城文化活动，构建文化传承共同体。</w:t>
            </w:r>
          </w:p>
          <w:p w14:paraId="5A74ABD3">
            <w:pPr>
              <w:adjustRightInd w:val="0"/>
              <w:snapToGrid w:val="0"/>
              <w:spacing w:line="440" w:lineRule="exact"/>
              <w:ind w:firstLine="584" w:firstLineChars="200"/>
              <w:jc w:val="both"/>
              <w:rPr>
                <w:rFonts w:hint="eastAsia" w:ascii="仿宋_GB2312" w:hAnsi="仿宋_GB2312" w:eastAsia="仿宋_GB2312" w:cs="仿宋_GB2312"/>
                <w:bCs/>
                <w:spacing w:val="6"/>
                <w:sz w:val="32"/>
                <w:szCs w:val="32"/>
                <w:lang w:val="en-US"/>
              </w:rPr>
            </w:pPr>
            <w:r>
              <w:rPr>
                <w:rFonts w:hint="eastAsia" w:ascii="仿宋" w:hAnsi="仿宋" w:eastAsia="仿宋" w:cs="仿宋"/>
                <w:bCs/>
                <w:spacing w:val="6"/>
                <w:sz w:val="28"/>
                <w:szCs w:val="28"/>
                <w:lang w:val="en-US"/>
              </w:rPr>
              <w:t>“创新驱动”则注重以创新思维推动文化传承与发展模式变革。一方面，探索文化与科技、艺术、教育等领域的跨界融合，创新文化表现形式与传播渠道；另一方面，建立创新激励机制，吸引社会各界力量参与，形成慕田峪长城文化建设的创新生态。通过本命题的研究与实践，期望实现慕田峪长城文化价值的深度挖掘与活化利用，增强民族文化认同感与自豪感，同时为长城文化建设提供可复制、可推广的经验与模式。</w:t>
            </w:r>
          </w:p>
        </w:tc>
      </w:tr>
      <w:tr w14:paraId="4E3CD9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6" w:hRule="atLeast"/>
          <w:jc w:val="center"/>
        </w:trPr>
        <w:tc>
          <w:tcPr>
            <w:tcW w:w="1887" w:type="dxa"/>
            <w:tcBorders>
              <w:right w:val="single" w:color="auto" w:sz="4" w:space="0"/>
              <w:tl2br w:val="nil"/>
              <w:tr2bl w:val="nil"/>
            </w:tcBorders>
            <w:shd w:val="clear" w:color="auto" w:fill="FFFFFF"/>
            <w:vAlign w:val="center"/>
          </w:tcPr>
          <w:p w14:paraId="0D5D5436">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最终成果</w:t>
            </w:r>
            <w:r>
              <w:rPr>
                <w:rFonts w:hint="eastAsia" w:ascii="仿宋_GB2312" w:hAnsi="仿宋_GB2312" w:eastAsia="仿宋_GB2312" w:cs="仿宋_GB2312"/>
                <w:sz w:val="32"/>
                <w:szCs w:val="32"/>
              </w:rPr>
              <w:t>要求</w:t>
            </w:r>
          </w:p>
        </w:tc>
        <w:tc>
          <w:tcPr>
            <w:tcW w:w="6724"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65581CC6">
            <w:pPr>
              <w:adjustRightInd w:val="0"/>
              <w:snapToGrid w:val="0"/>
              <w:spacing w:line="440" w:lineRule="exact"/>
              <w:rPr>
                <w:rFonts w:hint="eastAsia" w:ascii="仿宋" w:hAnsi="仿宋" w:eastAsia="仿宋" w:cs="仿宋"/>
                <w:sz w:val="28"/>
                <w:szCs w:val="28"/>
                <w:lang w:val="en-US"/>
              </w:rPr>
            </w:pPr>
            <w:bookmarkStart w:id="1" w:name="OLE_LINK8"/>
            <w:r>
              <w:rPr>
                <w:rFonts w:hint="eastAsia" w:ascii="仿宋" w:hAnsi="仿宋" w:eastAsia="仿宋" w:cs="仿宋"/>
                <w:sz w:val="28"/>
                <w:szCs w:val="28"/>
                <w:lang w:val="en-US"/>
              </w:rPr>
              <w:t>1.理论研究成果：撰写一份不少于1万字的《慕田峪长城文化特色与建设方向分析报告》，梳理慕田峪长城现存的历史故事、建筑特点等文化元素，提出</w:t>
            </w:r>
            <w:r>
              <w:rPr>
                <w:rFonts w:ascii="仿宋" w:hAnsi="仿宋" w:eastAsia="仿宋" w:cs="仿宋"/>
                <w:sz w:val="28"/>
                <w:szCs w:val="28"/>
                <w:lang w:val="en-US"/>
              </w:rPr>
              <w:t>3-5</w:t>
            </w:r>
            <w:r>
              <w:rPr>
                <w:rFonts w:hint="eastAsia" w:ascii="仿宋" w:hAnsi="仿宋" w:eastAsia="仿宋" w:cs="仿宋"/>
                <w:sz w:val="28"/>
                <w:szCs w:val="28"/>
                <w:lang w:val="en-US"/>
              </w:rPr>
              <w:t>个贴合实际的文化建设初步思路，如打造特色文化主题标识等。</w:t>
            </w:r>
          </w:p>
          <w:p w14:paraId="0054B42C">
            <w:pPr>
              <w:adjustRightInd w:val="0"/>
              <w:snapToGrid w:val="0"/>
              <w:spacing w:line="440" w:lineRule="exact"/>
              <w:rPr>
                <w:rFonts w:hint="eastAsia" w:ascii="仿宋" w:hAnsi="仿宋" w:eastAsia="仿宋" w:cs="仿宋"/>
                <w:sz w:val="28"/>
                <w:szCs w:val="28"/>
                <w:lang w:val="en-US"/>
              </w:rPr>
            </w:pPr>
            <w:r>
              <w:rPr>
                <w:rFonts w:hint="eastAsia" w:ascii="仿宋" w:hAnsi="仿宋" w:eastAsia="仿宋" w:cs="仿宋"/>
                <w:sz w:val="28"/>
                <w:szCs w:val="28"/>
                <w:lang w:val="en-US"/>
              </w:rPr>
              <w:t>2.实践应用成果：策划</w:t>
            </w:r>
            <w:r>
              <w:rPr>
                <w:rFonts w:ascii="仿宋" w:hAnsi="仿宋" w:eastAsia="仿宋" w:cs="仿宋"/>
                <w:sz w:val="28"/>
                <w:szCs w:val="28"/>
                <w:lang w:val="en-US"/>
              </w:rPr>
              <w:t>2-3</w:t>
            </w:r>
            <w:r>
              <w:rPr>
                <w:rFonts w:hint="eastAsia" w:ascii="仿宋" w:hAnsi="仿宋" w:eastAsia="仿宋" w:cs="仿宋"/>
                <w:sz w:val="28"/>
                <w:szCs w:val="28"/>
                <w:lang w:val="en-US"/>
              </w:rPr>
              <w:t>个小型落地活动方案，例如</w:t>
            </w:r>
            <w:r>
              <w:rPr>
                <w:rFonts w:ascii="仿宋" w:hAnsi="仿宋" w:eastAsia="仿宋" w:cs="仿宋"/>
                <w:sz w:val="28"/>
                <w:szCs w:val="28"/>
                <w:lang w:val="en-US"/>
              </w:rPr>
              <w:t>“</w:t>
            </w:r>
            <w:r>
              <w:rPr>
                <w:rFonts w:hint="eastAsia" w:ascii="仿宋" w:hAnsi="仿宋" w:eastAsia="仿宋" w:cs="仿宋"/>
                <w:sz w:val="28"/>
                <w:szCs w:val="28"/>
                <w:lang w:val="en-US"/>
              </w:rPr>
              <w:t>慕田峪长城文化小课堂”，面向游客开展简单的长城历史知识讲解；或设计</w:t>
            </w:r>
            <w:r>
              <w:rPr>
                <w:rFonts w:ascii="仿宋" w:hAnsi="仿宋" w:eastAsia="仿宋" w:cs="仿宋"/>
                <w:sz w:val="28"/>
                <w:szCs w:val="28"/>
                <w:lang w:val="en-US"/>
              </w:rPr>
              <w:t>“</w:t>
            </w:r>
            <w:r>
              <w:rPr>
                <w:rFonts w:hint="eastAsia" w:ascii="仿宋" w:hAnsi="仿宋" w:eastAsia="仿宋" w:cs="仿宋"/>
                <w:sz w:val="28"/>
                <w:szCs w:val="28"/>
                <w:lang w:val="en-US"/>
              </w:rPr>
              <w:t>长城文化打卡点”，设置趣味拍照场景与文化知识展板，并在景区内进行为期</w:t>
            </w:r>
            <w:r>
              <w:rPr>
                <w:rFonts w:ascii="仿宋" w:hAnsi="仿宋" w:eastAsia="仿宋" w:cs="仿宋"/>
                <w:sz w:val="28"/>
                <w:szCs w:val="28"/>
                <w:lang w:val="en-US"/>
              </w:rPr>
              <w:t>1</w:t>
            </w:r>
            <w:r>
              <w:rPr>
                <w:rFonts w:hint="eastAsia" w:ascii="仿宋" w:hAnsi="仿宋" w:eastAsia="仿宋" w:cs="仿宋"/>
                <w:sz w:val="28"/>
                <w:szCs w:val="28"/>
                <w:lang w:val="en-US"/>
              </w:rPr>
              <w:t>个月的试点运行，记录参与人数及游客评价。</w:t>
            </w:r>
          </w:p>
          <w:p w14:paraId="3FF4C7EC">
            <w:pPr>
              <w:adjustRightInd w:val="0"/>
              <w:snapToGrid w:val="0"/>
              <w:spacing w:line="440" w:lineRule="exact"/>
              <w:rPr>
                <w:rFonts w:hint="eastAsia" w:ascii="仿宋_GB2312" w:hAnsi="仿宋_GB2312" w:eastAsia="仿宋_GB2312" w:cs="仿宋_GB2312"/>
                <w:sz w:val="32"/>
                <w:szCs w:val="32"/>
                <w:lang w:val="en-US"/>
              </w:rPr>
            </w:pPr>
            <w:r>
              <w:rPr>
                <w:rFonts w:hint="eastAsia" w:ascii="仿宋" w:hAnsi="仿宋" w:eastAsia="仿宋" w:cs="仿宋"/>
                <w:sz w:val="28"/>
                <w:szCs w:val="28"/>
                <w:lang w:val="en-US"/>
              </w:rPr>
              <w:t>3.社会效益成果：联合周边社区或学校，组织</w:t>
            </w:r>
            <w:r>
              <w:rPr>
                <w:rFonts w:ascii="仿宋" w:hAnsi="仿宋" w:eastAsia="仿宋" w:cs="仿宋"/>
                <w:sz w:val="28"/>
                <w:szCs w:val="28"/>
                <w:lang w:val="en-US"/>
              </w:rPr>
              <w:t>1-2</w:t>
            </w:r>
            <w:r>
              <w:rPr>
                <w:rFonts w:hint="eastAsia" w:ascii="仿宋" w:hAnsi="仿宋" w:eastAsia="仿宋" w:cs="仿宋"/>
                <w:sz w:val="28"/>
                <w:szCs w:val="28"/>
                <w:lang w:val="en-US"/>
              </w:rPr>
              <w:t>场</w:t>
            </w:r>
            <w:r>
              <w:rPr>
                <w:rFonts w:ascii="仿宋" w:hAnsi="仿宋" w:eastAsia="仿宋" w:cs="仿宋"/>
                <w:sz w:val="28"/>
                <w:szCs w:val="28"/>
                <w:lang w:val="en-US"/>
              </w:rPr>
              <w:t>“</w:t>
            </w:r>
            <w:r>
              <w:rPr>
                <w:rFonts w:hint="eastAsia" w:ascii="仿宋" w:hAnsi="仿宋" w:eastAsia="仿宋" w:cs="仿宋"/>
                <w:sz w:val="28"/>
                <w:szCs w:val="28"/>
                <w:lang w:val="en-US"/>
              </w:rPr>
              <w:t>走进慕田峪长城”主题活动，吸引至少</w:t>
            </w:r>
            <w:r>
              <w:rPr>
                <w:rFonts w:ascii="仿宋" w:hAnsi="仿宋" w:eastAsia="仿宋" w:cs="仿宋"/>
                <w:sz w:val="28"/>
                <w:szCs w:val="28"/>
                <w:lang w:val="en-US"/>
              </w:rPr>
              <w:t>100</w:t>
            </w:r>
            <w:r>
              <w:rPr>
                <w:rFonts w:hint="eastAsia" w:ascii="仿宋" w:hAnsi="仿宋" w:eastAsia="仿宋" w:cs="仿宋"/>
                <w:sz w:val="28"/>
                <w:szCs w:val="28"/>
                <w:lang w:val="en-US"/>
              </w:rPr>
              <w:t>人参与；或通过微信公众号、短视频平台发布</w:t>
            </w:r>
            <w:r>
              <w:rPr>
                <w:rFonts w:ascii="仿宋" w:hAnsi="仿宋" w:eastAsia="仿宋" w:cs="仿宋"/>
                <w:sz w:val="28"/>
                <w:szCs w:val="28"/>
                <w:lang w:val="en-US"/>
              </w:rPr>
              <w:t>3-5</w:t>
            </w:r>
            <w:r>
              <w:rPr>
                <w:rFonts w:hint="eastAsia" w:ascii="仿宋" w:hAnsi="仿宋" w:eastAsia="仿宋" w:cs="仿宋"/>
                <w:sz w:val="28"/>
                <w:szCs w:val="28"/>
                <w:lang w:val="en-US"/>
              </w:rPr>
              <w:t>条宣传慕田峪长城文化的图文或视频内容，累计获得</w:t>
            </w:r>
            <w:r>
              <w:rPr>
                <w:rFonts w:ascii="仿宋" w:hAnsi="仿宋" w:eastAsia="仿宋" w:cs="仿宋"/>
                <w:sz w:val="28"/>
                <w:szCs w:val="28"/>
                <w:lang w:val="en-US"/>
              </w:rPr>
              <w:t>5000</w:t>
            </w:r>
            <w:r>
              <w:rPr>
                <w:rFonts w:hint="eastAsia" w:ascii="仿宋" w:hAnsi="仿宋" w:eastAsia="仿宋" w:cs="仿宋"/>
                <w:sz w:val="28"/>
                <w:szCs w:val="28"/>
                <w:lang w:val="en-US"/>
              </w:rPr>
              <w:t>次以上浏览量，并形成活动总结与宣传效果分析报告。</w:t>
            </w:r>
            <w:bookmarkEnd w:id="1"/>
          </w:p>
        </w:tc>
      </w:tr>
    </w:tbl>
    <w:p w14:paraId="4A177DBE">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三、激励保障</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3B2DC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PrEx>
        <w:trPr>
          <w:trHeight w:val="1484" w:hRule="atLeast"/>
          <w:jc w:val="center"/>
        </w:trPr>
        <w:tc>
          <w:tcPr>
            <w:tcW w:w="1815" w:type="dxa"/>
            <w:tcBorders>
              <w:tl2br w:val="nil"/>
              <w:tr2bl w:val="nil"/>
            </w:tcBorders>
            <w:shd w:val="clear" w:color="auto" w:fill="FFFFFF"/>
            <w:vAlign w:val="center"/>
          </w:tcPr>
          <w:p w14:paraId="39661676">
            <w:pPr>
              <w:adjustRightInd w:val="0"/>
              <w:snapToGrid w:val="0"/>
              <w:spacing w:line="440" w:lineRule="exact"/>
              <w:jc w:val="center"/>
              <w:rPr>
                <w:rFonts w:hint="eastAsia" w:ascii="仿宋_GB2312" w:hAnsi="仿宋_GB2312" w:eastAsia="仿宋_GB2312" w:cs="仿宋_GB2312"/>
                <w:sz w:val="32"/>
                <w:szCs w:val="32"/>
              </w:rPr>
            </w:pPr>
            <w:bookmarkStart w:id="2" w:name="OLE_LINK2"/>
            <w:r>
              <w:rPr>
                <w:rFonts w:hint="eastAsia" w:ascii="仿宋_GB2312" w:hAnsi="仿宋_GB2312" w:eastAsia="仿宋_GB2312" w:cs="仿宋_GB2312"/>
                <w:sz w:val="32"/>
                <w:szCs w:val="32"/>
                <w:lang w:val="en-US"/>
              </w:rPr>
              <w:t>资源支持</w:t>
            </w:r>
          </w:p>
        </w:tc>
        <w:tc>
          <w:tcPr>
            <w:tcW w:w="6689" w:type="dxa"/>
            <w:tcBorders>
              <w:tl2br w:val="nil"/>
              <w:tr2bl w:val="nil"/>
            </w:tcBorders>
            <w:shd w:val="clear" w:color="auto" w:fill="FFFFFF"/>
            <w:vAlign w:val="center"/>
          </w:tcPr>
          <w:p w14:paraId="212CBFFA">
            <w:pPr>
              <w:adjustRightInd w:val="0"/>
              <w:snapToGrid w:val="0"/>
              <w:spacing w:line="440" w:lineRule="exact"/>
              <w:ind w:firstLine="560" w:firstLineChars="200"/>
              <w:rPr>
                <w:rFonts w:hint="eastAsia" w:ascii="仿宋_GB2312" w:hAnsi="仿宋_GB2312" w:eastAsia="仿宋_GB2312" w:cs="仿宋_GB2312"/>
                <w:sz w:val="32"/>
                <w:szCs w:val="32"/>
                <w:lang w:val="en-US"/>
              </w:rPr>
            </w:pPr>
            <w:r>
              <w:rPr>
                <w:rFonts w:ascii="仿宋" w:hAnsi="仿宋" w:eastAsia="仿宋" w:cs="仿宋"/>
                <w:bCs/>
                <w:sz w:val="28"/>
                <w:szCs w:val="28"/>
                <w:lang w:val="en-US"/>
              </w:rPr>
              <w:t>可为学生实践团队提供慕田峪长城景区实地调研便利与相关实践条件支持，保障项目顺利开展。</w:t>
            </w:r>
          </w:p>
        </w:tc>
      </w:tr>
      <w:bookmarkEnd w:id="2"/>
    </w:tbl>
    <w:p w14:paraId="2B09BF00">
      <w:pPr>
        <w:tabs>
          <w:tab w:val="left" w:pos="8640"/>
        </w:tabs>
        <w:adjustRightInd w:val="0"/>
        <w:snapToGrid w:val="0"/>
        <w:spacing w:line="560" w:lineRule="exact"/>
        <w:rPr>
          <w:rFonts w:hint="eastAsia" w:ascii="黑体" w:hAnsi="黑体" w:eastAsia="黑体" w:cs="黑体"/>
          <w:bCs/>
          <w:spacing w:val="6"/>
          <w:sz w:val="32"/>
          <w:szCs w:val="32"/>
          <w:lang w:val="en-US"/>
        </w:rPr>
      </w:pPr>
      <w:r>
        <w:rPr>
          <w:rFonts w:hint="eastAsia" w:ascii="黑体" w:hAnsi="黑体" w:eastAsia="黑体" w:cs="黑体"/>
          <w:bCs/>
          <w:spacing w:val="6"/>
          <w:sz w:val="32"/>
          <w:szCs w:val="32"/>
          <w:lang w:val="en-US"/>
        </w:rPr>
        <w:t>四、提交方式</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643776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8C02B58">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提交时间</w:t>
            </w:r>
          </w:p>
        </w:tc>
        <w:tc>
          <w:tcPr>
            <w:tcW w:w="6689" w:type="dxa"/>
            <w:tcBorders>
              <w:tl2br w:val="nil"/>
              <w:tr2bl w:val="nil"/>
            </w:tcBorders>
            <w:shd w:val="clear" w:color="auto" w:fill="FFFFFF"/>
            <w:vAlign w:val="center"/>
          </w:tcPr>
          <w:p w14:paraId="2FCC7EEC">
            <w:pPr>
              <w:adjustRightInd w:val="0"/>
              <w:snapToGrid w:val="0"/>
              <w:spacing w:line="440" w:lineRule="exact"/>
              <w:rPr>
                <w:rFonts w:hint="eastAsia" w:ascii="仿宋" w:hAnsi="仿宋" w:eastAsia="仿宋" w:cs="仿宋"/>
                <w:bCs/>
                <w:sz w:val="28"/>
                <w:szCs w:val="28"/>
                <w:lang w:val="en-US"/>
              </w:rPr>
            </w:pPr>
            <w:bookmarkStart w:id="3" w:name="OLE_LINK9"/>
            <w:r>
              <w:rPr>
                <w:rFonts w:hint="eastAsia" w:ascii="仿宋" w:hAnsi="仿宋" w:eastAsia="仿宋" w:cs="仿宋"/>
                <w:bCs/>
                <w:sz w:val="28"/>
                <w:szCs w:val="28"/>
                <w:lang w:val="en-US" w:eastAsia="zh-CN"/>
              </w:rPr>
              <w:t>5</w:t>
            </w:r>
            <w:r>
              <w:rPr>
                <w:rFonts w:hint="eastAsia" w:ascii="仿宋" w:hAnsi="仿宋" w:eastAsia="仿宋" w:cs="仿宋"/>
                <w:bCs/>
                <w:sz w:val="28"/>
                <w:szCs w:val="28"/>
                <w:lang w:val="en-US"/>
              </w:rPr>
              <w:t>月</w:t>
            </w:r>
            <w:r>
              <w:rPr>
                <w:rFonts w:hint="eastAsia" w:ascii="仿宋" w:hAnsi="仿宋" w:eastAsia="仿宋" w:cs="仿宋"/>
                <w:bCs/>
                <w:sz w:val="28"/>
                <w:szCs w:val="28"/>
                <w:lang w:val="en-US" w:eastAsia="zh-CN"/>
              </w:rPr>
              <w:t>27</w:t>
            </w:r>
            <w:bookmarkStart w:id="4" w:name="_GoBack"/>
            <w:bookmarkEnd w:id="4"/>
            <w:r>
              <w:rPr>
                <w:rFonts w:hint="eastAsia" w:ascii="仿宋" w:hAnsi="仿宋" w:eastAsia="仿宋" w:cs="仿宋"/>
                <w:bCs/>
                <w:sz w:val="28"/>
                <w:szCs w:val="28"/>
                <w:lang w:val="en-US"/>
              </w:rPr>
              <w:t>日前，提交根据榜单要求设计对应实践方案</w:t>
            </w:r>
          </w:p>
          <w:p w14:paraId="0A1E76D2">
            <w:pPr>
              <w:adjustRightInd w:val="0"/>
              <w:snapToGrid w:val="0"/>
              <w:spacing w:line="440" w:lineRule="exact"/>
              <w:rPr>
                <w:rFonts w:hint="eastAsia" w:ascii="仿宋_GB2312" w:hAnsi="仿宋_GB2312" w:eastAsia="仿宋_GB2312" w:cs="仿宋_GB2312"/>
                <w:sz w:val="32"/>
                <w:szCs w:val="32"/>
                <w:lang w:val="en-US"/>
              </w:rPr>
            </w:pPr>
            <w:r>
              <w:rPr>
                <w:rFonts w:hint="eastAsia" w:ascii="仿宋" w:hAnsi="仿宋" w:eastAsia="仿宋" w:cs="仿宋"/>
                <w:bCs/>
                <w:sz w:val="28"/>
                <w:szCs w:val="28"/>
                <w:lang w:val="en-US"/>
              </w:rPr>
              <w:t>注：此实践方案为遴选“挂帅”团队的重要材料</w:t>
            </w:r>
            <w:bookmarkEnd w:id="3"/>
          </w:p>
        </w:tc>
      </w:tr>
      <w:tr w14:paraId="271B1E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42CAF90F">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提交邮箱</w:t>
            </w:r>
          </w:p>
        </w:tc>
        <w:tc>
          <w:tcPr>
            <w:tcW w:w="6689" w:type="dxa"/>
            <w:tcBorders>
              <w:tl2br w:val="nil"/>
              <w:tr2bl w:val="nil"/>
            </w:tcBorders>
            <w:shd w:val="clear" w:color="auto" w:fill="FFFFFF"/>
            <w:vAlign w:val="center"/>
          </w:tcPr>
          <w:p w14:paraId="30CDA0F4">
            <w:pPr>
              <w:adjustRightInd w:val="0"/>
              <w:snapToGrid w:val="0"/>
              <w:spacing w:line="440" w:lineRule="exact"/>
              <w:jc w:val="center"/>
              <w:rPr>
                <w:rFonts w:hint="eastAsia" w:ascii="仿宋_GB2312" w:hAnsi="仿宋_GB2312" w:eastAsia="仿宋_GB2312" w:cs="仿宋_GB2312"/>
                <w:sz w:val="32"/>
                <w:szCs w:val="32"/>
                <w:lang w:val="en-US"/>
              </w:rPr>
            </w:pPr>
            <w:r>
              <w:rPr>
                <w:rFonts w:ascii="仿宋_GB2312" w:hAnsi="仿宋_GB2312" w:eastAsia="仿宋_GB2312" w:cs="仿宋_GB2312"/>
                <w:sz w:val="28"/>
                <w:szCs w:val="28"/>
                <w:lang w:val="en-US"/>
              </w:rPr>
              <w:t>gsglbangongshi@126.com</w:t>
            </w:r>
          </w:p>
        </w:tc>
      </w:tr>
    </w:tbl>
    <w:p w14:paraId="0C6B82F3">
      <w:pPr>
        <w:tabs>
          <w:tab w:val="left" w:pos="8640"/>
        </w:tabs>
        <w:adjustRightInd w:val="0"/>
        <w:snapToGrid w:val="0"/>
        <w:spacing w:line="560" w:lineRule="exact"/>
        <w:rPr>
          <w:rFonts w:ascii="方正楷体简体" w:hAnsi="方正楷体简体" w:eastAsia="方正楷体简体" w:cs="方正楷体简体"/>
          <w:lang w:val="en-US"/>
        </w:rPr>
      </w:pPr>
    </w:p>
    <w:sectPr>
      <w:footerReference r:id="rId3" w:type="default"/>
      <w:pgSz w:w="11906" w:h="16838"/>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251AFE-3034-4B92-85BA-C63B069664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0000600000000000000"/>
    <w:charset w:val="86"/>
    <w:family w:val="auto"/>
    <w:pitch w:val="default"/>
    <w:sig w:usb0="800002BF" w:usb1="184F6CF8" w:usb2="00000012" w:usb3="00000000" w:csb0="00160001" w:csb1="12030000"/>
    <w:embedRegular r:id="rId2" w:fontKey="{06F8FD3D-6F28-4ADA-8230-F37AB66A2E4F}"/>
  </w:font>
  <w:font w:name="仿宋_GB2312">
    <w:panose1 w:val="02010609030101010101"/>
    <w:charset w:val="86"/>
    <w:family w:val="auto"/>
    <w:pitch w:val="default"/>
    <w:sig w:usb0="00000001" w:usb1="080E0000" w:usb2="00000000" w:usb3="00000000" w:csb0="00040000" w:csb1="00000000"/>
    <w:embedRegular r:id="rId3" w:fontKey="{A771EE44-B7EC-45D6-9DFD-222A7677BB82}"/>
  </w:font>
  <w:font w:name="仿宋">
    <w:panose1 w:val="02010609060101010101"/>
    <w:charset w:val="86"/>
    <w:family w:val="modern"/>
    <w:pitch w:val="default"/>
    <w:sig w:usb0="800002BF" w:usb1="38CF7CFA" w:usb2="00000016" w:usb3="00000000" w:csb0="00040001" w:csb1="00000000"/>
    <w:embedRegular r:id="rId4" w:fontKey="{8B5E8C2D-77D9-4EB3-8D55-3452CF204B9C}"/>
  </w:font>
  <w:font w:name="方正楷体简体">
    <w:altName w:val="宋体"/>
    <w:panose1 w:val="00000000000000000000"/>
    <w:charset w:val="86"/>
    <w:family w:val="auto"/>
    <w:pitch w:val="default"/>
    <w:sig w:usb0="00000000" w:usb1="00000000" w:usb2="00000000" w:usb3="00000000" w:csb0="00000000" w:csb1="00000000"/>
    <w:embedRegular r:id="rId5" w:fontKey="{C15F9FEA-654B-4351-A34E-C9957B8D61C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651566"/>
    </w:sdtPr>
    <w:sdtContent>
      <w:p w14:paraId="4EE0AE71">
        <w:pPr>
          <w:pStyle w:val="2"/>
          <w:jc w:val="center"/>
          <w:rPr>
            <w:rFonts w:hint="eastAsia"/>
          </w:rPr>
        </w:pPr>
        <w:r>
          <w:fldChar w:fldCharType="begin"/>
        </w:r>
        <w:r>
          <w:instrText xml:space="preserve">PAGE   \* MERGEFORMAT</w:instrText>
        </w:r>
        <w:r>
          <w:fldChar w:fldCharType="separate"/>
        </w:r>
        <w:r>
          <w:rPr>
            <w:lang w:val="zh-CN"/>
          </w:rPr>
          <w:t>4</w:t>
        </w:r>
        <w:r>
          <w:fldChar w:fldCharType="end"/>
        </w:r>
      </w:p>
    </w:sdtContent>
  </w:sdt>
  <w:p w14:paraId="1FC8ACBD">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ZTM5OTU0MmM2OTY1OWU4NzEyZWIyODMyNTc1ZTUifQ=="/>
  </w:docVars>
  <w:rsids>
    <w:rsidRoot w:val="008769EE"/>
    <w:rsid w:val="000024AF"/>
    <w:rsid w:val="00005D1C"/>
    <w:rsid w:val="00016504"/>
    <w:rsid w:val="00021C1D"/>
    <w:rsid w:val="000420F1"/>
    <w:rsid w:val="00057714"/>
    <w:rsid w:val="000579E3"/>
    <w:rsid w:val="000626B0"/>
    <w:rsid w:val="00075C5A"/>
    <w:rsid w:val="0008341B"/>
    <w:rsid w:val="000A6775"/>
    <w:rsid w:val="000B59FE"/>
    <w:rsid w:val="000D5792"/>
    <w:rsid w:val="000D57EF"/>
    <w:rsid w:val="000D5CE7"/>
    <w:rsid w:val="000F5FA6"/>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D40"/>
    <w:rsid w:val="002D1753"/>
    <w:rsid w:val="002D6FA5"/>
    <w:rsid w:val="002E7BFD"/>
    <w:rsid w:val="002F6451"/>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3DD5"/>
    <w:rsid w:val="004A4E02"/>
    <w:rsid w:val="004B00B4"/>
    <w:rsid w:val="004B01E5"/>
    <w:rsid w:val="004D0FC5"/>
    <w:rsid w:val="004D7510"/>
    <w:rsid w:val="004E551C"/>
    <w:rsid w:val="004F3DC9"/>
    <w:rsid w:val="00521EB2"/>
    <w:rsid w:val="005269C8"/>
    <w:rsid w:val="00532B4E"/>
    <w:rsid w:val="005333BA"/>
    <w:rsid w:val="0053363C"/>
    <w:rsid w:val="00550A20"/>
    <w:rsid w:val="00564E32"/>
    <w:rsid w:val="00570D8D"/>
    <w:rsid w:val="00574E86"/>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95F2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1CD"/>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45FC"/>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5072"/>
    <w:rsid w:val="00BE634B"/>
    <w:rsid w:val="00BF4E2D"/>
    <w:rsid w:val="00C217F1"/>
    <w:rsid w:val="00C24C93"/>
    <w:rsid w:val="00C57018"/>
    <w:rsid w:val="00C60328"/>
    <w:rsid w:val="00C678B8"/>
    <w:rsid w:val="00C720F3"/>
    <w:rsid w:val="00C82B11"/>
    <w:rsid w:val="00C878BE"/>
    <w:rsid w:val="00C94172"/>
    <w:rsid w:val="00C97BA0"/>
    <w:rsid w:val="00CA19F5"/>
    <w:rsid w:val="00CB5FAC"/>
    <w:rsid w:val="00CB6FC8"/>
    <w:rsid w:val="00CC608E"/>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C08F5"/>
    <w:rsid w:val="00DD4992"/>
    <w:rsid w:val="00DE5602"/>
    <w:rsid w:val="00DF09AA"/>
    <w:rsid w:val="00DF64DF"/>
    <w:rsid w:val="00DF78E0"/>
    <w:rsid w:val="00E01DD4"/>
    <w:rsid w:val="00E02303"/>
    <w:rsid w:val="00E1302F"/>
    <w:rsid w:val="00E13134"/>
    <w:rsid w:val="00E30024"/>
    <w:rsid w:val="00E46C70"/>
    <w:rsid w:val="00E47733"/>
    <w:rsid w:val="00E5011B"/>
    <w:rsid w:val="00E52410"/>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4A99"/>
    <w:rsid w:val="00FC2914"/>
    <w:rsid w:val="00FF5C3F"/>
    <w:rsid w:val="011D4668"/>
    <w:rsid w:val="03803D68"/>
    <w:rsid w:val="040E5D41"/>
    <w:rsid w:val="04816A57"/>
    <w:rsid w:val="051528EC"/>
    <w:rsid w:val="05C978FD"/>
    <w:rsid w:val="0671705A"/>
    <w:rsid w:val="06732134"/>
    <w:rsid w:val="06B96375"/>
    <w:rsid w:val="07463F1D"/>
    <w:rsid w:val="078F2493"/>
    <w:rsid w:val="0A8F7AAE"/>
    <w:rsid w:val="0B4A5469"/>
    <w:rsid w:val="0B6B3F04"/>
    <w:rsid w:val="0B6F69F0"/>
    <w:rsid w:val="0BA15007"/>
    <w:rsid w:val="0C645CC6"/>
    <w:rsid w:val="0C955B7E"/>
    <w:rsid w:val="0DCF4D92"/>
    <w:rsid w:val="0F78357E"/>
    <w:rsid w:val="107F47F9"/>
    <w:rsid w:val="10DB3A4D"/>
    <w:rsid w:val="12E36BE9"/>
    <w:rsid w:val="13CA2B4E"/>
    <w:rsid w:val="15D942D4"/>
    <w:rsid w:val="17F65611"/>
    <w:rsid w:val="189A4AC9"/>
    <w:rsid w:val="195A59BF"/>
    <w:rsid w:val="1A1667EC"/>
    <w:rsid w:val="1A9F551B"/>
    <w:rsid w:val="1AD27C6F"/>
    <w:rsid w:val="1C307CA7"/>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76607BD"/>
    <w:rsid w:val="2A85768A"/>
    <w:rsid w:val="2BC2788C"/>
    <w:rsid w:val="2D5072C9"/>
    <w:rsid w:val="2E89643F"/>
    <w:rsid w:val="2ED43E1F"/>
    <w:rsid w:val="2EF61F5F"/>
    <w:rsid w:val="2F204D2F"/>
    <w:rsid w:val="30280776"/>
    <w:rsid w:val="30D8752B"/>
    <w:rsid w:val="33020A40"/>
    <w:rsid w:val="347270AC"/>
    <w:rsid w:val="359C73A0"/>
    <w:rsid w:val="36160F00"/>
    <w:rsid w:val="397B56DC"/>
    <w:rsid w:val="3A5A5133"/>
    <w:rsid w:val="3BC02155"/>
    <w:rsid w:val="3BF7E6BF"/>
    <w:rsid w:val="3C4538F8"/>
    <w:rsid w:val="3CD975B2"/>
    <w:rsid w:val="3D7D1865"/>
    <w:rsid w:val="3ED27DBD"/>
    <w:rsid w:val="40504E9C"/>
    <w:rsid w:val="4185378C"/>
    <w:rsid w:val="436879E0"/>
    <w:rsid w:val="43C60126"/>
    <w:rsid w:val="45A06791"/>
    <w:rsid w:val="47791038"/>
    <w:rsid w:val="49ED0155"/>
    <w:rsid w:val="4B9A1970"/>
    <w:rsid w:val="4B9A22C6"/>
    <w:rsid w:val="4D47054C"/>
    <w:rsid w:val="4E175B2C"/>
    <w:rsid w:val="4FDF2564"/>
    <w:rsid w:val="50571C9F"/>
    <w:rsid w:val="50AB003F"/>
    <w:rsid w:val="52353A0A"/>
    <w:rsid w:val="560E14B9"/>
    <w:rsid w:val="597D2244"/>
    <w:rsid w:val="5A0D30B4"/>
    <w:rsid w:val="5B3429A4"/>
    <w:rsid w:val="5C146507"/>
    <w:rsid w:val="5C9D087A"/>
    <w:rsid w:val="5D35760E"/>
    <w:rsid w:val="5D5840D6"/>
    <w:rsid w:val="5F200A95"/>
    <w:rsid w:val="619135C2"/>
    <w:rsid w:val="62D04AAA"/>
    <w:rsid w:val="62E655DE"/>
    <w:rsid w:val="64126E1E"/>
    <w:rsid w:val="64C611F6"/>
    <w:rsid w:val="654B616B"/>
    <w:rsid w:val="65F77B57"/>
    <w:rsid w:val="65FF3AA9"/>
    <w:rsid w:val="660F3D1F"/>
    <w:rsid w:val="66152ACA"/>
    <w:rsid w:val="68B44D24"/>
    <w:rsid w:val="6BDF6CC4"/>
    <w:rsid w:val="6CFC2C49"/>
    <w:rsid w:val="6DB5058A"/>
    <w:rsid w:val="70905002"/>
    <w:rsid w:val="70BB7C71"/>
    <w:rsid w:val="71B400B8"/>
    <w:rsid w:val="72EF1566"/>
    <w:rsid w:val="733B5877"/>
    <w:rsid w:val="73412F53"/>
    <w:rsid w:val="747947EB"/>
    <w:rsid w:val="748443E4"/>
    <w:rsid w:val="74F952E5"/>
    <w:rsid w:val="75483F2B"/>
    <w:rsid w:val="75A628C9"/>
    <w:rsid w:val="75B36462"/>
    <w:rsid w:val="76B27622"/>
    <w:rsid w:val="780A371A"/>
    <w:rsid w:val="784521A0"/>
    <w:rsid w:val="788D1579"/>
    <w:rsid w:val="7A6F2A3A"/>
    <w:rsid w:val="7BBB15F0"/>
    <w:rsid w:val="7C07A0F5"/>
    <w:rsid w:val="7D460711"/>
    <w:rsid w:val="7D717185"/>
    <w:rsid w:val="7D7635FF"/>
    <w:rsid w:val="7E172803"/>
    <w:rsid w:val="7EE83A7C"/>
    <w:rsid w:val="7F207CC7"/>
    <w:rsid w:val="7F52447F"/>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3">
    <w:name w:val="header"/>
    <w:basedOn w:val="1"/>
    <w:link w:val="11"/>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4">
    <w:name w:val="Normal (Web)"/>
    <w:basedOn w:val="1"/>
    <w:unhideWhenUsed/>
    <w:qFormat/>
    <w:uiPriority w:val="99"/>
    <w:pPr>
      <w:spacing w:before="100" w:beforeAutospacing="1" w:after="100" w:afterAutospacing="1"/>
    </w:pPr>
    <w:rPr>
      <w:rFonts w:ascii="宋体" w:hAnsi="宋体" w:eastAsia="宋体" w:cs="宋体"/>
    </w:rPr>
  </w:style>
  <w:style w:type="character" w:styleId="7">
    <w:name w:val="Strong"/>
    <w:qFormat/>
    <w:uiPriority w:val="0"/>
    <w:rPr>
      <w:b/>
      <w:bCs/>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styleId="14">
    <w:name w:val="List Paragraph"/>
    <w:basedOn w:val="1"/>
    <w:qFormat/>
    <w:uiPriority w:val="34"/>
    <w:pPr>
      <w:ind w:firstLine="420" w:firstLineChars="200"/>
    </w:pPr>
  </w:style>
  <w:style w:type="character" w:customStyle="1" w:styleId="15">
    <w:name w:val="未处理的提及2"/>
    <w:basedOn w:val="6"/>
    <w:semiHidden/>
    <w:unhideWhenUsed/>
    <w:qFormat/>
    <w:uiPriority w:val="99"/>
    <w:rPr>
      <w:color w:val="605E5C"/>
      <w:shd w:val="clear" w:color="auto" w:fill="E1DFDD"/>
    </w:rPr>
  </w:style>
  <w:style w:type="character" w:customStyle="1" w:styleId="16">
    <w:name w:val="未处理的提及3"/>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1496</Words>
  <Characters>1556</Characters>
  <Lines>53</Lines>
  <Paragraphs>31</Paragraphs>
  <TotalTime>17</TotalTime>
  <ScaleCrop>false</ScaleCrop>
  <LinksUpToDate>false</LinksUpToDate>
  <CharactersWithSpaces>1556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2022-12-31T13:38:00Z</dcterms:created>
  <dc:creator>张 斌</dc:creator>
  <cp:lastModifiedBy>郭嘉丽</cp:lastModifiedBy>
  <cp:lastPrinted>2023-01-11T03:09:00Z</cp:lastPrinted>
  <dcterms:modified xsi:type="dcterms:W3CDTF">2026-05-15T13:46:50Z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5A0698F380B9463492388A615EF23578_13</vt:lpwstr>
  </property>
  <property fmtid="{D5CDD505-2E9C-101B-9397-08002B2CF9AE}" pid="4" name="KSOTemplateDocerSaveRecord">
    <vt:lpwstr>eyJoZGlkIjoiNjM2NTAxZWE1M2Q4OGNkODAxM2NmNjRlZWVlMDI4MDMiLCJ1c2VySWQiOiIxNzU4MTUyMjI0In0=</vt:lpwstr>
  </property>
</Properties>
</file>