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AA495">
      <w:pPr>
        <w:tabs>
          <w:tab w:val="left" w:pos="8640"/>
        </w:tabs>
        <w:adjustRightInd w:val="0"/>
        <w:snapToGrid w:val="0"/>
        <w:spacing w:line="560" w:lineRule="exact"/>
        <w:jc w:val="center"/>
        <w:rPr>
          <w:rFonts w:hint="eastAsia" w:ascii="方正小标宋简体" w:eastAsia="方正小标宋简体"/>
          <w:bCs/>
          <w:sz w:val="44"/>
          <w:szCs w:val="44"/>
        </w:rPr>
      </w:pPr>
      <w:r>
        <w:rPr>
          <w:rFonts w:hint="eastAsia" w:ascii="方正小标宋简体" w:eastAsia="方正小标宋简体"/>
          <w:bCs/>
          <w:sz w:val="44"/>
          <w:szCs w:val="44"/>
        </w:rPr>
        <w:t>校级实践育人基地实践项目申报表</w:t>
      </w:r>
    </w:p>
    <w:p w14:paraId="2EF8DED7">
      <w:pPr>
        <w:tabs>
          <w:tab w:val="left" w:pos="8640"/>
        </w:tabs>
        <w:adjustRightInd w:val="0"/>
        <w:snapToGrid w:val="0"/>
        <w:spacing w:line="560" w:lineRule="exact"/>
        <w:jc w:val="center"/>
        <w:rPr>
          <w:rFonts w:hint="eastAsia" w:ascii="方正小标宋简体" w:eastAsia="方正小标宋简体"/>
          <w:bCs/>
          <w:sz w:val="44"/>
          <w:szCs w:val="44"/>
        </w:rPr>
      </w:pPr>
    </w:p>
    <w:p w14:paraId="20F49B23">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一、</w:t>
      </w:r>
      <w:r>
        <w:rPr>
          <w:rFonts w:hint="eastAsia" w:ascii="黑体" w:hAnsi="黑体" w:eastAsia="黑体" w:cs="黑体"/>
          <w:bCs/>
          <w:spacing w:val="6"/>
          <w:sz w:val="32"/>
          <w:szCs w:val="32"/>
          <w:lang w:val="en-US" w:eastAsia="zh-CN"/>
        </w:rPr>
        <w:t>校级实践育人基地单位信息</w:t>
      </w:r>
    </w:p>
    <w:tbl>
      <w:tblPr>
        <w:tblStyle w:val="5"/>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3076"/>
        <w:gridCol w:w="1073"/>
        <w:gridCol w:w="2783"/>
      </w:tblGrid>
      <w:tr w14:paraId="741A0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668" w:type="dxa"/>
            <w:vAlign w:val="center"/>
          </w:tcPr>
          <w:p w14:paraId="73C536BD">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单位</w:t>
            </w:r>
          </w:p>
        </w:tc>
        <w:tc>
          <w:tcPr>
            <w:tcW w:w="6932" w:type="dxa"/>
            <w:gridSpan w:val="3"/>
            <w:vAlign w:val="center"/>
          </w:tcPr>
          <w:p w14:paraId="09ABFF2B">
            <w:pPr>
              <w:keepNext w:val="0"/>
              <w:keepLines w:val="0"/>
              <w:pageBreakBefore w:val="0"/>
              <w:widowControl/>
              <w:kinsoku/>
              <w:wordWrap/>
              <w:overflowPunct/>
              <w:topLinePunct w:val="0"/>
              <w:autoSpaceDE/>
              <w:autoSpaceDN/>
              <w:bidi w:val="0"/>
              <w:snapToGrid/>
              <w:spacing w:line="400" w:lineRule="exact"/>
              <w:jc w:val="center"/>
              <w:textAlignment w:val="center"/>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北京市门头沟区</w:t>
            </w:r>
            <w:bookmarkStart w:id="1" w:name="_GoBack"/>
            <w:r>
              <w:rPr>
                <w:rFonts w:hint="eastAsia" w:ascii="仿宋_GB2312" w:hAnsi="仿宋_GB2312" w:eastAsia="仿宋_GB2312" w:cs="仿宋_GB2312"/>
                <w:color w:val="000000"/>
                <w:sz w:val="32"/>
                <w:szCs w:val="32"/>
                <w:lang w:val="en-US" w:eastAsia="zh-CN"/>
              </w:rPr>
              <w:t>龙泉镇中门寺南坡一区社区</w:t>
            </w:r>
            <w:bookmarkEnd w:id="1"/>
          </w:p>
        </w:tc>
      </w:tr>
      <w:tr w14:paraId="34989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1668" w:type="dxa"/>
            <w:vAlign w:val="center"/>
          </w:tcPr>
          <w:p w14:paraId="4632B42B">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单位</w:t>
            </w:r>
            <w:r>
              <w:rPr>
                <w:rFonts w:hint="eastAsia" w:ascii="仿宋_GB2312" w:hAnsi="仿宋_GB2312" w:eastAsia="仿宋_GB2312" w:cs="仿宋_GB2312"/>
                <w:sz w:val="32"/>
                <w:szCs w:val="32"/>
              </w:rPr>
              <w:t>简介</w:t>
            </w:r>
          </w:p>
        </w:tc>
        <w:tc>
          <w:tcPr>
            <w:tcW w:w="6932" w:type="dxa"/>
            <w:gridSpan w:val="3"/>
            <w:vAlign w:val="center"/>
          </w:tcPr>
          <w:p w14:paraId="4C695C3B">
            <w:pPr>
              <w:keepNext w:val="0"/>
              <w:keepLines w:val="0"/>
              <w:pageBreakBefore w:val="0"/>
              <w:widowControl/>
              <w:kinsoku/>
              <w:wordWrap/>
              <w:overflowPunct/>
              <w:topLinePunct w:val="0"/>
              <w:autoSpaceDE/>
              <w:autoSpaceDN/>
              <w:bidi w:val="0"/>
              <w:adjustRightInd w:val="0"/>
              <w:snapToGrid/>
              <w:spacing w:line="400" w:lineRule="exact"/>
              <w:ind w:firstLine="504" w:firstLineChars="200"/>
              <w:jc w:val="left"/>
              <w:rPr>
                <w:rFonts w:hint="eastAsia" w:ascii="仿宋_GB2312" w:hAnsi="仿宋_GB2312" w:eastAsia="仿宋_GB2312" w:cs="仿宋_GB2312"/>
                <w:bCs/>
                <w:spacing w:val="6"/>
                <w:sz w:val="32"/>
                <w:szCs w:val="32"/>
                <w:lang w:val="en-US" w:eastAsia="zh-CN"/>
              </w:rPr>
            </w:pPr>
            <w:r>
              <w:rPr>
                <w:rFonts w:hint="eastAsia" w:ascii="仿宋_GB2312" w:hAnsi="仿宋_GB2312" w:eastAsia="仿宋_GB2312" w:cs="仿宋_GB2312"/>
                <w:bCs/>
                <w:spacing w:val="6"/>
                <w:sz w:val="24"/>
                <w:szCs w:val="24"/>
                <w:lang w:val="en-US" w:eastAsia="zh-CN"/>
              </w:rPr>
              <w:t>中门寺南坡一区社区位于北京市门头沟区龙泉镇，属村改居回迁安置小区，总面积0.15平方公里，辖区12栋楼，常住人口1664，3680人。</w:t>
            </w:r>
          </w:p>
        </w:tc>
      </w:tr>
      <w:tr w14:paraId="6BC3A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668" w:type="dxa"/>
            <w:vAlign w:val="center"/>
          </w:tcPr>
          <w:p w14:paraId="1FC359FB">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bCs/>
                <w:spacing w:val="6"/>
                <w:sz w:val="32"/>
                <w:szCs w:val="32"/>
              </w:rPr>
            </w:pPr>
            <w:r>
              <w:rPr>
                <w:rFonts w:hint="eastAsia" w:ascii="仿宋_GB2312" w:hAnsi="仿宋_GB2312" w:eastAsia="仿宋_GB2312" w:cs="仿宋_GB2312"/>
                <w:sz w:val="32"/>
                <w:szCs w:val="32"/>
                <w:lang w:val="en-US"/>
              </w:rPr>
              <w:t>联系人</w:t>
            </w:r>
          </w:p>
        </w:tc>
        <w:tc>
          <w:tcPr>
            <w:tcW w:w="3076" w:type="dxa"/>
            <w:vAlign w:val="center"/>
          </w:tcPr>
          <w:p w14:paraId="416D0A45">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bCs/>
                <w:spacing w:val="6"/>
                <w:sz w:val="32"/>
                <w:szCs w:val="32"/>
                <w:lang w:val="en-US" w:eastAsia="zh-CN"/>
              </w:rPr>
            </w:pPr>
            <w:r>
              <w:rPr>
                <w:rFonts w:hint="eastAsia" w:ascii="仿宋_GB2312" w:hAnsi="仿宋_GB2312" w:eastAsia="仿宋_GB2312" w:cs="仿宋_GB2312"/>
                <w:bCs/>
                <w:spacing w:val="6"/>
                <w:sz w:val="32"/>
                <w:szCs w:val="32"/>
                <w:lang w:val="en-US" w:eastAsia="zh-CN"/>
              </w:rPr>
              <w:t>李艳</w:t>
            </w:r>
          </w:p>
        </w:tc>
        <w:tc>
          <w:tcPr>
            <w:tcW w:w="1073" w:type="dxa"/>
            <w:vAlign w:val="center"/>
          </w:tcPr>
          <w:p w14:paraId="25778B8F">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手机</w:t>
            </w:r>
          </w:p>
        </w:tc>
        <w:tc>
          <w:tcPr>
            <w:tcW w:w="2783" w:type="dxa"/>
            <w:vAlign w:val="center"/>
          </w:tcPr>
          <w:p w14:paraId="693A7833">
            <w:pPr>
              <w:keepNext w:val="0"/>
              <w:keepLines w:val="0"/>
              <w:pageBreakBefore w:val="0"/>
              <w:widowControl/>
              <w:kinsoku/>
              <w:wordWrap/>
              <w:overflowPunct/>
              <w:topLinePunct w:val="0"/>
              <w:autoSpaceDE/>
              <w:autoSpaceDN/>
              <w:bidi w:val="0"/>
              <w:adjustRightInd w:val="0"/>
              <w:snapToGrid/>
              <w:spacing w:line="400" w:lineRule="exact"/>
              <w:jc w:val="center"/>
              <w:rPr>
                <w:rFonts w:hint="default" w:ascii="仿宋_GB2312" w:hAnsi="仿宋_GB2312" w:eastAsia="仿宋_GB2312" w:cs="仿宋_GB2312"/>
                <w:sz w:val="32"/>
                <w:szCs w:val="32"/>
                <w:lang w:val="en-US"/>
              </w:rPr>
            </w:pPr>
            <w:r>
              <w:rPr>
                <w:rFonts w:hint="eastAsia" w:ascii="仿宋_GB2312" w:hAnsi="仿宋_GB2312" w:eastAsia="仿宋_GB2312" w:cs="仿宋_GB2312"/>
                <w:bCs/>
                <w:spacing w:val="6"/>
                <w:sz w:val="32"/>
                <w:szCs w:val="32"/>
                <w:lang w:val="en-US" w:eastAsia="zh-CN"/>
              </w:rPr>
              <w:t>13488896671</w:t>
            </w:r>
          </w:p>
        </w:tc>
      </w:tr>
    </w:tbl>
    <w:p w14:paraId="7C54698A">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二、</w:t>
      </w:r>
      <w:r>
        <w:rPr>
          <w:rFonts w:hint="eastAsia" w:ascii="黑体" w:hAnsi="黑体" w:eastAsia="黑体" w:cs="黑体"/>
          <w:bCs/>
          <w:spacing w:val="6"/>
          <w:sz w:val="32"/>
          <w:szCs w:val="32"/>
          <w:lang w:val="en-US" w:eastAsia="zh-CN"/>
        </w:rPr>
        <w:t>实践</w:t>
      </w:r>
      <w:r>
        <w:rPr>
          <w:rFonts w:hint="eastAsia" w:ascii="黑体" w:hAnsi="黑体" w:eastAsia="黑体" w:cs="黑体"/>
          <w:bCs/>
          <w:spacing w:val="6"/>
          <w:sz w:val="32"/>
          <w:szCs w:val="32"/>
        </w:rPr>
        <w:t>选题说明</w:t>
      </w:r>
    </w:p>
    <w:tbl>
      <w:tblPr>
        <w:tblStyle w:val="5"/>
        <w:tblW w:w="861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87"/>
        <w:gridCol w:w="6724"/>
      </w:tblGrid>
      <w:tr w14:paraId="18DE63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0" w:hRule="atLeast"/>
          <w:jc w:val="center"/>
        </w:trPr>
        <w:tc>
          <w:tcPr>
            <w:tcW w:w="1887" w:type="dxa"/>
            <w:tcBorders>
              <w:tl2br w:val="nil"/>
              <w:tr2bl w:val="nil"/>
            </w:tcBorders>
            <w:shd w:val="clear" w:color="auto" w:fill="FFFFFF"/>
            <w:vAlign w:val="center"/>
          </w:tcPr>
          <w:p w14:paraId="428C8CB0">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题目</w:t>
            </w:r>
          </w:p>
        </w:tc>
        <w:tc>
          <w:tcPr>
            <w:tcW w:w="6724" w:type="dxa"/>
            <w:tcBorders>
              <w:tl2br w:val="nil"/>
              <w:tr2bl w:val="nil"/>
            </w:tcBorders>
            <w:shd w:val="clear" w:color="auto" w:fill="FFFFFF"/>
            <w:vAlign w:val="center"/>
          </w:tcPr>
          <w:p w14:paraId="3D49E282">
            <w:pPr>
              <w:keepNext w:val="0"/>
              <w:keepLines w:val="0"/>
              <w:pageBreakBefore w:val="0"/>
              <w:widowControl/>
              <w:kinsoku/>
              <w:wordWrap/>
              <w:overflowPunct/>
              <w:topLinePunct w:val="0"/>
              <w:autoSpaceDE/>
              <w:autoSpaceDN/>
              <w:bidi w:val="0"/>
              <w:adjustRightIn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28"/>
                <w:szCs w:val="28"/>
                <w:lang w:val="en-US" w:eastAsia="zh-CN"/>
              </w:rPr>
              <w:t>高校深度参与社区治理“志愿+”长效服务项目</w:t>
            </w:r>
          </w:p>
        </w:tc>
      </w:tr>
      <w:tr w14:paraId="316A55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771" w:hRule="atLeast"/>
          <w:jc w:val="center"/>
        </w:trPr>
        <w:tc>
          <w:tcPr>
            <w:tcW w:w="1887" w:type="dxa"/>
            <w:tcBorders>
              <w:tl2br w:val="nil"/>
              <w:tr2bl w:val="nil"/>
            </w:tcBorders>
            <w:shd w:val="clear" w:color="auto" w:fill="FFFFFF"/>
            <w:vAlign w:val="center"/>
          </w:tcPr>
          <w:p w14:paraId="660983B9">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题目介绍</w:t>
            </w:r>
          </w:p>
        </w:tc>
        <w:tc>
          <w:tcPr>
            <w:tcW w:w="6724" w:type="dxa"/>
            <w:tcBorders>
              <w:tl2br w:val="nil"/>
              <w:tr2bl w:val="nil"/>
            </w:tcBorders>
            <w:shd w:val="clear" w:color="auto" w:fill="FFFFFF"/>
            <w:vAlign w:val="center"/>
          </w:tcPr>
          <w:p w14:paraId="729DE962">
            <w:pPr>
              <w:keepNext w:val="0"/>
              <w:keepLines w:val="0"/>
              <w:pageBreakBefore w:val="0"/>
              <w:widowControl/>
              <w:kinsoku/>
              <w:wordWrap/>
              <w:overflowPunct/>
              <w:topLinePunct w:val="0"/>
              <w:autoSpaceDE/>
              <w:autoSpaceDN/>
              <w:bidi w:val="0"/>
              <w:adjustRightInd w:val="0"/>
              <w:snapToGrid w:val="0"/>
              <w:spacing w:line="440" w:lineRule="exact"/>
              <w:ind w:firstLine="504" w:firstLineChars="200"/>
              <w:jc w:val="both"/>
              <w:textAlignment w:val="auto"/>
              <w:rPr>
                <w:rFonts w:hint="eastAsia" w:ascii="仿宋_GB2312" w:hAnsi="仿宋_GB2312" w:eastAsia="仿宋_GB2312" w:cs="仿宋_GB2312"/>
                <w:bCs/>
                <w:spacing w:val="6"/>
                <w:sz w:val="24"/>
                <w:szCs w:val="24"/>
                <w:lang w:val="en-US" w:eastAsia="zh-CN"/>
              </w:rPr>
            </w:pPr>
            <w:r>
              <w:rPr>
                <w:rFonts w:hint="eastAsia" w:ascii="仿宋_GB2312" w:hAnsi="仿宋_GB2312" w:eastAsia="仿宋_GB2312" w:cs="仿宋_GB2312"/>
                <w:bCs/>
                <w:spacing w:val="6"/>
                <w:sz w:val="24"/>
                <w:szCs w:val="24"/>
                <w:lang w:val="en-US" w:eastAsia="zh-CN"/>
              </w:rPr>
              <w:t>为深入贯彻落实关于加强基层治理体系和治理能力现代化建设的有关要求，推动高校资源下沉社区，本项目以“校社协同、共建共治”为路径，着力构建高校参与社区治理的长效志愿服务机制。项目聚焦重大活动保障与常态化、深层次服务岗位设置，推动志愿服务由“短期响应”向“持续深耕”转变，切实提升社区治理效能与居民获得感。</w:t>
            </w:r>
          </w:p>
          <w:p w14:paraId="6B54626A">
            <w:pPr>
              <w:keepNext w:val="0"/>
              <w:keepLines w:val="0"/>
              <w:pageBreakBefore w:val="0"/>
              <w:widowControl/>
              <w:kinsoku/>
              <w:wordWrap/>
              <w:overflowPunct/>
              <w:topLinePunct w:val="0"/>
              <w:autoSpaceDE/>
              <w:autoSpaceDN/>
              <w:bidi w:val="0"/>
              <w:adjustRightInd w:val="0"/>
              <w:snapToGrid w:val="0"/>
              <w:spacing w:line="440" w:lineRule="exact"/>
              <w:ind w:firstLine="504" w:firstLineChars="200"/>
              <w:jc w:val="both"/>
              <w:textAlignment w:val="auto"/>
              <w:rPr>
                <w:rFonts w:hint="eastAsia" w:ascii="仿宋_GB2312" w:hAnsi="仿宋_GB2312" w:eastAsia="仿宋_GB2312" w:cs="仿宋_GB2312"/>
                <w:bCs/>
                <w:spacing w:val="6"/>
                <w:sz w:val="24"/>
                <w:szCs w:val="24"/>
                <w:lang w:val="en-US" w:eastAsia="zh-CN"/>
              </w:rPr>
            </w:pPr>
            <w:r>
              <w:rPr>
                <w:rFonts w:hint="eastAsia" w:ascii="仿宋_GB2312" w:hAnsi="仿宋_GB2312" w:eastAsia="仿宋_GB2312" w:cs="仿宋_GB2312"/>
                <w:bCs/>
                <w:spacing w:val="6"/>
                <w:sz w:val="24"/>
                <w:szCs w:val="24"/>
                <w:lang w:val="en-US" w:eastAsia="zh-CN"/>
              </w:rPr>
              <w:t>在长期性服务领域，重点推进三项工作：一是依托社区寒暑期托管平台，由高校志愿者参与课程教学、兴趣拓展及日常管理，缓解双职工家庭托育压力；二是开展社区微环境与文化空间营造，组织志愿者与居民共同参与楼门文化设计、公共空间美化等，增强社区认同与凝聚；三是建立“志愿服务+能力提升”双轮驱动机制，面向社区居民骨干、老年群体等开展智能技术应用、健康知识普及、应急救护等培训，助力社区培育内生志愿力量。</w:t>
            </w:r>
          </w:p>
          <w:p w14:paraId="2EA44CA7">
            <w:pPr>
              <w:keepNext w:val="0"/>
              <w:keepLines w:val="0"/>
              <w:pageBreakBefore w:val="0"/>
              <w:widowControl/>
              <w:kinsoku/>
              <w:wordWrap/>
              <w:overflowPunct/>
              <w:topLinePunct w:val="0"/>
              <w:autoSpaceDE/>
              <w:autoSpaceDN/>
              <w:bidi w:val="0"/>
              <w:adjustRightInd w:val="0"/>
              <w:snapToGrid w:val="0"/>
              <w:spacing w:line="440" w:lineRule="exact"/>
              <w:ind w:firstLine="504" w:firstLineChars="200"/>
              <w:jc w:val="both"/>
              <w:textAlignment w:val="auto"/>
              <w:rPr>
                <w:rFonts w:hint="eastAsia" w:ascii="仿宋_GB2312" w:hAnsi="仿宋_GB2312" w:eastAsia="仿宋_GB2312" w:cs="仿宋_GB2312"/>
                <w:bCs/>
                <w:spacing w:val="6"/>
                <w:sz w:val="32"/>
                <w:szCs w:val="32"/>
                <w:lang w:val="en-US" w:eastAsia="zh-CN"/>
              </w:rPr>
            </w:pPr>
            <w:r>
              <w:rPr>
                <w:rFonts w:hint="eastAsia" w:ascii="仿宋_GB2312" w:hAnsi="仿宋_GB2312" w:eastAsia="仿宋_GB2312" w:cs="仿宋_GB2312"/>
                <w:bCs/>
                <w:spacing w:val="6"/>
                <w:sz w:val="24"/>
                <w:szCs w:val="24"/>
                <w:lang w:val="en-US" w:eastAsia="zh-CN"/>
              </w:rPr>
              <w:t>本项目的实施，有助于将高校智力资源转化为治理效能，实现高校实践育人与社区治理能力提升的双向赋能，形成可复制、可推广的校社联动典型经验。</w:t>
            </w:r>
          </w:p>
        </w:tc>
      </w:tr>
      <w:tr w14:paraId="7FDD3F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236" w:hRule="atLeast"/>
          <w:jc w:val="center"/>
        </w:trPr>
        <w:tc>
          <w:tcPr>
            <w:tcW w:w="1887" w:type="dxa"/>
            <w:tcBorders>
              <w:right w:val="single" w:color="auto" w:sz="4" w:space="0"/>
              <w:tl2br w:val="nil"/>
              <w:tr2bl w:val="nil"/>
            </w:tcBorders>
            <w:shd w:val="clear" w:color="auto" w:fill="FFFFFF"/>
            <w:vAlign w:val="center"/>
          </w:tcPr>
          <w:p w14:paraId="66F9EFBE">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最终成果</w:t>
            </w:r>
            <w:r>
              <w:rPr>
                <w:rFonts w:hint="eastAsia" w:ascii="仿宋_GB2312" w:hAnsi="仿宋_GB2312" w:eastAsia="仿宋_GB2312" w:cs="仿宋_GB2312"/>
                <w:sz w:val="32"/>
                <w:szCs w:val="32"/>
              </w:rPr>
              <w:t>要求</w:t>
            </w:r>
          </w:p>
        </w:tc>
        <w:tc>
          <w:tcPr>
            <w:tcW w:w="6724" w:type="dxa"/>
            <w:tcBorders>
              <w:top w:val="single" w:color="auto" w:sz="4" w:space="0"/>
              <w:left w:val="single" w:color="auto" w:sz="4" w:space="0"/>
              <w:bottom w:val="single" w:color="auto" w:sz="4" w:space="0"/>
              <w:right w:val="single" w:color="auto" w:sz="4" w:space="0"/>
              <w:tl2br w:val="nil"/>
              <w:tr2bl w:val="nil"/>
            </w:tcBorders>
            <w:shd w:val="clear" w:color="auto" w:fill="FFFFFF"/>
            <w:vAlign w:val="center"/>
          </w:tcPr>
          <w:p w14:paraId="4D7227CA">
            <w:pPr>
              <w:keepNext w:val="0"/>
              <w:keepLines w:val="0"/>
              <w:pageBreakBefore w:val="0"/>
              <w:widowControl/>
              <w:kinsoku/>
              <w:wordWrap/>
              <w:overflowPunct/>
              <w:topLinePunct w:val="0"/>
              <w:autoSpaceDE/>
              <w:autoSpaceDN/>
              <w:bidi w:val="0"/>
              <w:adjustRightInd w:val="0"/>
              <w:snapToGrid w:val="0"/>
              <w:spacing w:line="440" w:lineRule="exact"/>
              <w:ind w:firstLine="48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24"/>
                <w:szCs w:val="24"/>
                <w:lang w:val="en-US" w:eastAsia="zh-CN"/>
              </w:rPr>
              <w:t>形成具有示范意义的校社联动志愿服务机制及经验案例材料；并培育至少1支居民骨干自治志愿队伍。</w:t>
            </w:r>
          </w:p>
        </w:tc>
      </w:tr>
    </w:tbl>
    <w:p w14:paraId="000747F1">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三、激励保障</w:t>
      </w:r>
    </w:p>
    <w:tbl>
      <w:tblPr>
        <w:tblStyle w:val="5"/>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15"/>
        <w:gridCol w:w="6689"/>
      </w:tblGrid>
      <w:tr w14:paraId="172732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3FE09D23">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eastAsia="zh-CN"/>
              </w:rPr>
            </w:pPr>
            <w:bookmarkStart w:id="0" w:name="OLE_LINK2"/>
            <w:r>
              <w:rPr>
                <w:rFonts w:hint="eastAsia" w:ascii="仿宋_GB2312" w:hAnsi="仿宋_GB2312" w:eastAsia="仿宋_GB2312" w:cs="仿宋_GB2312"/>
                <w:sz w:val="32"/>
                <w:szCs w:val="32"/>
                <w:lang w:val="en-US" w:eastAsia="zh-CN"/>
              </w:rPr>
              <w:t>资源支持</w:t>
            </w:r>
          </w:p>
        </w:tc>
        <w:tc>
          <w:tcPr>
            <w:tcW w:w="6689" w:type="dxa"/>
            <w:tcBorders>
              <w:tl2br w:val="nil"/>
              <w:tr2bl w:val="nil"/>
            </w:tcBorders>
            <w:shd w:val="clear" w:color="auto" w:fill="FFFFFF"/>
            <w:vAlign w:val="center"/>
          </w:tcPr>
          <w:p w14:paraId="4E20597A">
            <w:pPr>
              <w:keepNext w:val="0"/>
              <w:keepLines w:val="0"/>
              <w:pageBreakBefore w:val="0"/>
              <w:widowControl/>
              <w:kinsoku/>
              <w:wordWrap/>
              <w:overflowPunct/>
              <w:topLinePunct w:val="0"/>
              <w:autoSpaceDE/>
              <w:autoSpaceDN/>
              <w:bidi w:val="0"/>
              <w:adjustRightInd w:val="0"/>
              <w:snapToGrid w:val="0"/>
              <w:spacing w:line="440" w:lineRule="exact"/>
              <w:jc w:val="both"/>
              <w:textAlignment w:val="auto"/>
              <w:rPr>
                <w:rFonts w:hint="eastAsia" w:ascii="仿宋_GB2312" w:hAnsi="仿宋_GB2312" w:eastAsia="仿宋_GB2312" w:cs="仿宋_GB2312"/>
                <w:sz w:val="32"/>
                <w:szCs w:val="32"/>
                <w:lang w:val="en-US" w:eastAsia="zh-CN"/>
              </w:rPr>
            </w:pPr>
          </w:p>
          <w:p w14:paraId="021E8E6C">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p>
          <w:p w14:paraId="0EA8B4B1">
            <w:pPr>
              <w:keepNext w:val="0"/>
              <w:keepLines w:val="0"/>
              <w:widowControl/>
              <w:suppressLineNumbers w:val="0"/>
              <w:ind w:firstLine="480" w:firstLineChars="200"/>
              <w:jc w:val="left"/>
            </w:pPr>
            <w:r>
              <w:rPr>
                <w:rFonts w:ascii="宋体" w:hAnsi="宋体" w:eastAsia="宋体" w:cs="宋体"/>
                <w:kern w:val="0"/>
                <w:sz w:val="24"/>
                <w:szCs w:val="24"/>
                <w:lang w:val="en-US" w:eastAsia="zh-CN" w:bidi="ar"/>
              </w:rPr>
              <w:t>社区可配套提供活动室、专属办公场地，全力做好场地服务保障。</w:t>
            </w:r>
          </w:p>
          <w:p w14:paraId="34241CCA">
            <w:pPr>
              <w:keepNext w:val="0"/>
              <w:keepLines w:val="0"/>
              <w:pageBreakBefore w:val="0"/>
              <w:widowControl/>
              <w:kinsoku/>
              <w:wordWrap/>
              <w:overflowPunct/>
              <w:topLinePunct w:val="0"/>
              <w:autoSpaceDE/>
              <w:autoSpaceDN/>
              <w:bidi w:val="0"/>
              <w:adjustRightInd w:val="0"/>
              <w:snapToGrid w:val="0"/>
              <w:spacing w:line="440" w:lineRule="exact"/>
              <w:jc w:val="both"/>
              <w:textAlignment w:val="auto"/>
              <w:rPr>
                <w:rFonts w:hint="eastAsia" w:ascii="仿宋_GB2312" w:hAnsi="仿宋_GB2312" w:eastAsia="仿宋_GB2312" w:cs="仿宋_GB2312"/>
                <w:sz w:val="32"/>
                <w:szCs w:val="32"/>
                <w:lang w:val="en-US" w:eastAsia="zh-CN"/>
              </w:rPr>
            </w:pPr>
          </w:p>
        </w:tc>
      </w:tr>
      <w:bookmarkEnd w:id="0"/>
    </w:tbl>
    <w:p w14:paraId="2C15651F">
      <w:pPr>
        <w:tabs>
          <w:tab w:val="left" w:pos="8640"/>
        </w:tabs>
        <w:adjustRightInd w:val="0"/>
        <w:snapToGrid w:val="0"/>
        <w:spacing w:line="560" w:lineRule="exact"/>
        <w:rPr>
          <w:rFonts w:hint="default" w:ascii="黑体" w:hAnsi="黑体" w:eastAsia="黑体" w:cs="黑体"/>
          <w:bCs/>
          <w:spacing w:val="6"/>
          <w:sz w:val="32"/>
          <w:szCs w:val="32"/>
          <w:lang w:val="en-US" w:eastAsia="zh-CN"/>
        </w:rPr>
      </w:pPr>
      <w:r>
        <w:rPr>
          <w:rFonts w:hint="eastAsia" w:ascii="黑体" w:hAnsi="黑体" w:eastAsia="黑体" w:cs="黑体"/>
          <w:bCs/>
          <w:spacing w:val="6"/>
          <w:sz w:val="32"/>
          <w:szCs w:val="32"/>
          <w:lang w:val="en-US" w:eastAsia="zh-CN"/>
        </w:rPr>
        <w:t>四、提交方式</w:t>
      </w:r>
    </w:p>
    <w:tbl>
      <w:tblPr>
        <w:tblStyle w:val="5"/>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15"/>
        <w:gridCol w:w="6689"/>
      </w:tblGrid>
      <w:tr w14:paraId="4A4072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33F7E656">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提交时间</w:t>
            </w:r>
          </w:p>
        </w:tc>
        <w:tc>
          <w:tcPr>
            <w:tcW w:w="6689" w:type="dxa"/>
            <w:tcBorders>
              <w:tl2br w:val="nil"/>
              <w:tr2bl w:val="nil"/>
            </w:tcBorders>
            <w:shd w:val="clear" w:color="auto" w:fill="FFFFFF"/>
            <w:vAlign w:val="center"/>
          </w:tcPr>
          <w:p w14:paraId="0A298D04">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5月27日前，提交符合选题要求的实践方案</w:t>
            </w:r>
          </w:p>
          <w:p w14:paraId="4D77B167">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Cs/>
                <w:sz w:val="32"/>
                <w:szCs w:val="32"/>
                <w:lang w:val="en-US" w:eastAsia="zh-CN"/>
              </w:rPr>
              <w:t>注：此实践方案为遴选基地团队的重要材料</w:t>
            </w:r>
          </w:p>
        </w:tc>
      </w:tr>
      <w:tr w14:paraId="65D5C7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41685935">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提交邮箱</w:t>
            </w:r>
          </w:p>
        </w:tc>
        <w:tc>
          <w:tcPr>
            <w:tcW w:w="6689" w:type="dxa"/>
            <w:tcBorders>
              <w:tl2br w:val="nil"/>
              <w:tr2bl w:val="nil"/>
            </w:tcBorders>
            <w:shd w:val="clear" w:color="auto" w:fill="FFFFFF"/>
            <w:vAlign w:val="center"/>
          </w:tcPr>
          <w:p w14:paraId="41159391">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nanpoyiqu@126.com</w:t>
            </w:r>
          </w:p>
        </w:tc>
      </w:tr>
    </w:tbl>
    <w:p w14:paraId="76FB978E">
      <w:pPr>
        <w:tabs>
          <w:tab w:val="left" w:pos="8640"/>
        </w:tabs>
        <w:adjustRightInd w:val="0"/>
        <w:snapToGrid w:val="0"/>
        <w:spacing w:line="560" w:lineRule="exact"/>
        <w:rPr>
          <w:rFonts w:hint="default" w:ascii="方正楷体简体" w:hAnsi="方正楷体简体" w:eastAsia="方正楷体简体" w:cs="方正楷体简体"/>
          <w:lang w:val="en-US" w:eastAsia="zh-CN"/>
        </w:rPr>
      </w:pPr>
    </w:p>
    <w:p w14:paraId="3BA5F575">
      <w:pPr>
        <w:bidi w:val="0"/>
        <w:rPr>
          <w:rFonts w:hint="default" w:ascii="Times New Roman" w:hAnsi="Times New Roman" w:eastAsia="Times New Roman" w:cs="Times New Roman"/>
          <w:sz w:val="24"/>
          <w:szCs w:val="24"/>
          <w:lang w:val="en-US" w:eastAsia="zh-CN" w:bidi="ar-SA"/>
        </w:rPr>
      </w:pPr>
    </w:p>
    <w:p w14:paraId="64C0A7AE">
      <w:pPr>
        <w:bidi w:val="0"/>
        <w:rPr>
          <w:rFonts w:hint="default"/>
          <w:lang w:val="en-US" w:eastAsia="zh-CN"/>
        </w:rPr>
      </w:pPr>
    </w:p>
    <w:p w14:paraId="60C2B4E7">
      <w:pPr>
        <w:bidi w:val="0"/>
        <w:rPr>
          <w:rFonts w:hint="default"/>
          <w:lang w:val="en-US" w:eastAsia="zh-CN"/>
        </w:rPr>
      </w:pPr>
    </w:p>
    <w:p w14:paraId="747C9908">
      <w:pPr>
        <w:bidi w:val="0"/>
        <w:rPr>
          <w:rFonts w:hint="default"/>
          <w:lang w:val="en-US" w:eastAsia="zh-CN"/>
        </w:rPr>
      </w:pPr>
    </w:p>
    <w:p w14:paraId="1142A45C">
      <w:pPr>
        <w:bidi w:val="0"/>
        <w:rPr>
          <w:rFonts w:hint="default"/>
          <w:lang w:val="en-US" w:eastAsia="zh-CN"/>
        </w:rPr>
      </w:pPr>
    </w:p>
    <w:p w14:paraId="566F12F4">
      <w:pPr>
        <w:bidi w:val="0"/>
        <w:rPr>
          <w:rFonts w:hint="default"/>
          <w:lang w:val="en-US" w:eastAsia="zh-CN"/>
        </w:rPr>
      </w:pPr>
    </w:p>
    <w:p w14:paraId="5F7FD28A">
      <w:pPr>
        <w:tabs>
          <w:tab w:val="left" w:pos="6256"/>
        </w:tabs>
        <w:bidi w:val="0"/>
        <w:jc w:val="left"/>
        <w:rPr>
          <w:rFonts w:hint="default"/>
          <w:lang w:val="en-US" w:eastAsia="zh-CN"/>
        </w:rPr>
      </w:pPr>
      <w:r>
        <w:rPr>
          <w:rFonts w:hint="eastAsia"/>
          <w:lang w:val="en-US" w:eastAsia="zh-CN"/>
        </w:rPr>
        <w:tab/>
      </w:r>
    </w:p>
    <w:sectPr>
      <w:footerReference r:id="rId3" w:type="default"/>
      <w:pgSz w:w="11906" w:h="16838"/>
      <w:pgMar w:top="1587" w:right="1474" w:bottom="147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FE6C846-F0D4-4AF2-9535-66F097FA521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0000600000000000000"/>
    <w:charset w:val="86"/>
    <w:family w:val="auto"/>
    <w:pitch w:val="default"/>
    <w:sig w:usb0="800002BF" w:usb1="184F6CF8" w:usb2="00000012" w:usb3="00000000" w:csb0="00160001" w:csb1="12030000"/>
    <w:embedRegular r:id="rId2" w:fontKey="{1B55049D-6522-4AD4-8823-B4948260ECDE}"/>
  </w:font>
  <w:font w:name="仿宋_GB2312">
    <w:panose1 w:val="02010609030101010101"/>
    <w:charset w:val="86"/>
    <w:family w:val="auto"/>
    <w:pitch w:val="default"/>
    <w:sig w:usb0="00000001" w:usb1="080E0000" w:usb2="00000000" w:usb3="00000000" w:csb0="00040000" w:csb1="00000000"/>
    <w:embedRegular r:id="rId3" w:fontKey="{2C939D9A-0A19-4426-A18D-5BCCDC1D5506}"/>
  </w:font>
  <w:font w:name="方正楷体简体">
    <w:altName w:val="宋体"/>
    <w:panose1 w:val="02000000000000000000"/>
    <w:charset w:val="86"/>
    <w:family w:val="auto"/>
    <w:pitch w:val="default"/>
    <w:sig w:usb0="00000000" w:usb1="00000000" w:usb2="00000012" w:usb3="00000000" w:csb0="00040001" w:csb1="00000000"/>
    <w:embedRegular r:id="rId4" w:fontKey="{B40D0671-A4E1-45EB-BF08-0C7CA8C66439}"/>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651566"/>
    </w:sdtPr>
    <w:sdtContent>
      <w:p w14:paraId="467372C7">
        <w:pPr>
          <w:pStyle w:val="2"/>
          <w:jc w:val="center"/>
        </w:pPr>
        <w:r>
          <w:fldChar w:fldCharType="begin"/>
        </w:r>
        <w:r>
          <w:instrText xml:space="preserve">PAGE   \* MERGEFORMAT</w:instrText>
        </w:r>
        <w:r>
          <w:fldChar w:fldCharType="separate"/>
        </w:r>
        <w:r>
          <w:rPr>
            <w:lang w:val="zh-CN"/>
          </w:rPr>
          <w:t>4</w:t>
        </w:r>
        <w:r>
          <w:fldChar w:fldCharType="end"/>
        </w:r>
      </w:p>
    </w:sdtContent>
  </w:sdt>
  <w:p w14:paraId="1E39A161">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ZTM5OTU0MmM2OTY1OWU4NzEyZWIyODMyNTc1ZTUifQ=="/>
  </w:docVars>
  <w:rsids>
    <w:rsidRoot w:val="008769EE"/>
    <w:rsid w:val="000024AF"/>
    <w:rsid w:val="00005D1C"/>
    <w:rsid w:val="00016504"/>
    <w:rsid w:val="00021C1D"/>
    <w:rsid w:val="000420F1"/>
    <w:rsid w:val="00057714"/>
    <w:rsid w:val="000579E3"/>
    <w:rsid w:val="000626B0"/>
    <w:rsid w:val="00075C5A"/>
    <w:rsid w:val="000A6775"/>
    <w:rsid w:val="000B59FE"/>
    <w:rsid w:val="000D5792"/>
    <w:rsid w:val="000D57EF"/>
    <w:rsid w:val="000D5CE7"/>
    <w:rsid w:val="0010322A"/>
    <w:rsid w:val="0011069F"/>
    <w:rsid w:val="00115043"/>
    <w:rsid w:val="00120156"/>
    <w:rsid w:val="001360CE"/>
    <w:rsid w:val="001367A9"/>
    <w:rsid w:val="00142352"/>
    <w:rsid w:val="00143054"/>
    <w:rsid w:val="001579F2"/>
    <w:rsid w:val="00164C26"/>
    <w:rsid w:val="0016564C"/>
    <w:rsid w:val="00172BF5"/>
    <w:rsid w:val="00175648"/>
    <w:rsid w:val="001A0246"/>
    <w:rsid w:val="001A6D11"/>
    <w:rsid w:val="001B0D74"/>
    <w:rsid w:val="001B2C6C"/>
    <w:rsid w:val="001C0DFA"/>
    <w:rsid w:val="001D0729"/>
    <w:rsid w:val="001D4806"/>
    <w:rsid w:val="001E741B"/>
    <w:rsid w:val="001E760D"/>
    <w:rsid w:val="001E77C2"/>
    <w:rsid w:val="001F5AC3"/>
    <w:rsid w:val="001F6CC8"/>
    <w:rsid w:val="0020086A"/>
    <w:rsid w:val="00217A97"/>
    <w:rsid w:val="0022027A"/>
    <w:rsid w:val="00236E3E"/>
    <w:rsid w:val="0026569C"/>
    <w:rsid w:val="00277A57"/>
    <w:rsid w:val="00281AE9"/>
    <w:rsid w:val="00283877"/>
    <w:rsid w:val="002923C5"/>
    <w:rsid w:val="002938E3"/>
    <w:rsid w:val="002B0D40"/>
    <w:rsid w:val="002D1753"/>
    <w:rsid w:val="002D6FA5"/>
    <w:rsid w:val="002E7BFD"/>
    <w:rsid w:val="002F7D9C"/>
    <w:rsid w:val="00341051"/>
    <w:rsid w:val="00343B96"/>
    <w:rsid w:val="00354FAF"/>
    <w:rsid w:val="00363E2D"/>
    <w:rsid w:val="003701CF"/>
    <w:rsid w:val="00371816"/>
    <w:rsid w:val="003845ED"/>
    <w:rsid w:val="00392185"/>
    <w:rsid w:val="0039481F"/>
    <w:rsid w:val="003A2D89"/>
    <w:rsid w:val="003B6C68"/>
    <w:rsid w:val="003E007F"/>
    <w:rsid w:val="00455A1D"/>
    <w:rsid w:val="00463782"/>
    <w:rsid w:val="00476A7D"/>
    <w:rsid w:val="004876C3"/>
    <w:rsid w:val="00494F44"/>
    <w:rsid w:val="00496D3E"/>
    <w:rsid w:val="004A0A91"/>
    <w:rsid w:val="004A4E02"/>
    <w:rsid w:val="004B00B4"/>
    <w:rsid w:val="004B01E5"/>
    <w:rsid w:val="004D0FC5"/>
    <w:rsid w:val="004D7510"/>
    <w:rsid w:val="004E551C"/>
    <w:rsid w:val="004F3DC9"/>
    <w:rsid w:val="00521EB2"/>
    <w:rsid w:val="005269C8"/>
    <w:rsid w:val="00532B4E"/>
    <w:rsid w:val="005333BA"/>
    <w:rsid w:val="0053363C"/>
    <w:rsid w:val="00550A20"/>
    <w:rsid w:val="00564E32"/>
    <w:rsid w:val="00574E86"/>
    <w:rsid w:val="005753FB"/>
    <w:rsid w:val="00577641"/>
    <w:rsid w:val="00580524"/>
    <w:rsid w:val="00585CAC"/>
    <w:rsid w:val="005944CA"/>
    <w:rsid w:val="005A1DB0"/>
    <w:rsid w:val="005C1A80"/>
    <w:rsid w:val="005C1AAC"/>
    <w:rsid w:val="005C6ACD"/>
    <w:rsid w:val="005D33E1"/>
    <w:rsid w:val="005D5D40"/>
    <w:rsid w:val="00603AF5"/>
    <w:rsid w:val="00606DA8"/>
    <w:rsid w:val="00613169"/>
    <w:rsid w:val="00613AAA"/>
    <w:rsid w:val="006226BA"/>
    <w:rsid w:val="00624B5C"/>
    <w:rsid w:val="00633F6B"/>
    <w:rsid w:val="00636F96"/>
    <w:rsid w:val="00646247"/>
    <w:rsid w:val="0066226D"/>
    <w:rsid w:val="00662D41"/>
    <w:rsid w:val="00663468"/>
    <w:rsid w:val="00693B33"/>
    <w:rsid w:val="00696378"/>
    <w:rsid w:val="006A3A6E"/>
    <w:rsid w:val="006A51DF"/>
    <w:rsid w:val="006C3959"/>
    <w:rsid w:val="006C732F"/>
    <w:rsid w:val="006D5E75"/>
    <w:rsid w:val="006E6DDA"/>
    <w:rsid w:val="006F10F0"/>
    <w:rsid w:val="00704B08"/>
    <w:rsid w:val="007168CF"/>
    <w:rsid w:val="007216F0"/>
    <w:rsid w:val="00724EAF"/>
    <w:rsid w:val="0073249A"/>
    <w:rsid w:val="00746651"/>
    <w:rsid w:val="0074676F"/>
    <w:rsid w:val="0075096A"/>
    <w:rsid w:val="00751811"/>
    <w:rsid w:val="00753ECA"/>
    <w:rsid w:val="007711FB"/>
    <w:rsid w:val="00777C79"/>
    <w:rsid w:val="00792BCA"/>
    <w:rsid w:val="007934F8"/>
    <w:rsid w:val="00801614"/>
    <w:rsid w:val="00805D49"/>
    <w:rsid w:val="00816F55"/>
    <w:rsid w:val="00825DE6"/>
    <w:rsid w:val="00825FD8"/>
    <w:rsid w:val="008313DD"/>
    <w:rsid w:val="008321B0"/>
    <w:rsid w:val="00846294"/>
    <w:rsid w:val="0085042E"/>
    <w:rsid w:val="00851D22"/>
    <w:rsid w:val="0086052B"/>
    <w:rsid w:val="00860FD3"/>
    <w:rsid w:val="008669B5"/>
    <w:rsid w:val="00867EEA"/>
    <w:rsid w:val="00872C0C"/>
    <w:rsid w:val="008738D4"/>
    <w:rsid w:val="008769EE"/>
    <w:rsid w:val="0088143A"/>
    <w:rsid w:val="008836AC"/>
    <w:rsid w:val="00887D7E"/>
    <w:rsid w:val="0089086B"/>
    <w:rsid w:val="008A16EE"/>
    <w:rsid w:val="008B748E"/>
    <w:rsid w:val="008C4B94"/>
    <w:rsid w:val="008D1E8D"/>
    <w:rsid w:val="008E3EE3"/>
    <w:rsid w:val="008F2FB1"/>
    <w:rsid w:val="00912ADC"/>
    <w:rsid w:val="00917F07"/>
    <w:rsid w:val="00923192"/>
    <w:rsid w:val="00931DCA"/>
    <w:rsid w:val="00932E54"/>
    <w:rsid w:val="0093518D"/>
    <w:rsid w:val="00937CB6"/>
    <w:rsid w:val="00953BA4"/>
    <w:rsid w:val="00954857"/>
    <w:rsid w:val="009632E8"/>
    <w:rsid w:val="00966187"/>
    <w:rsid w:val="009722F8"/>
    <w:rsid w:val="00984CEA"/>
    <w:rsid w:val="00987542"/>
    <w:rsid w:val="00995541"/>
    <w:rsid w:val="009E7C56"/>
    <w:rsid w:val="00A02213"/>
    <w:rsid w:val="00A0235C"/>
    <w:rsid w:val="00A21117"/>
    <w:rsid w:val="00A22759"/>
    <w:rsid w:val="00A2670B"/>
    <w:rsid w:val="00A30D68"/>
    <w:rsid w:val="00A4232F"/>
    <w:rsid w:val="00A43480"/>
    <w:rsid w:val="00A46FCF"/>
    <w:rsid w:val="00A601D5"/>
    <w:rsid w:val="00A75F29"/>
    <w:rsid w:val="00AA45FC"/>
    <w:rsid w:val="00AA7BD8"/>
    <w:rsid w:val="00AB1BF4"/>
    <w:rsid w:val="00AB47FD"/>
    <w:rsid w:val="00AC7734"/>
    <w:rsid w:val="00AD24CF"/>
    <w:rsid w:val="00AD6CFA"/>
    <w:rsid w:val="00AE66B7"/>
    <w:rsid w:val="00B37F1A"/>
    <w:rsid w:val="00B40CAF"/>
    <w:rsid w:val="00B46BCA"/>
    <w:rsid w:val="00B52CCC"/>
    <w:rsid w:val="00B66E73"/>
    <w:rsid w:val="00B67EB8"/>
    <w:rsid w:val="00B7486E"/>
    <w:rsid w:val="00B96E4E"/>
    <w:rsid w:val="00BA70BA"/>
    <w:rsid w:val="00BA7D67"/>
    <w:rsid w:val="00BD0A75"/>
    <w:rsid w:val="00BE634B"/>
    <w:rsid w:val="00BF4E2D"/>
    <w:rsid w:val="00C217F1"/>
    <w:rsid w:val="00C24C93"/>
    <w:rsid w:val="00C57018"/>
    <w:rsid w:val="00C60328"/>
    <w:rsid w:val="00C678B8"/>
    <w:rsid w:val="00C720F3"/>
    <w:rsid w:val="00C82B11"/>
    <w:rsid w:val="00C94172"/>
    <w:rsid w:val="00C97BA0"/>
    <w:rsid w:val="00CA19F5"/>
    <w:rsid w:val="00CB5FAC"/>
    <w:rsid w:val="00CB6FC8"/>
    <w:rsid w:val="00CC608E"/>
    <w:rsid w:val="00CD6EE9"/>
    <w:rsid w:val="00D05DE3"/>
    <w:rsid w:val="00D23696"/>
    <w:rsid w:val="00D41F2A"/>
    <w:rsid w:val="00D474E2"/>
    <w:rsid w:val="00D47E2B"/>
    <w:rsid w:val="00D531BB"/>
    <w:rsid w:val="00D55D40"/>
    <w:rsid w:val="00D71164"/>
    <w:rsid w:val="00D8092B"/>
    <w:rsid w:val="00D826F5"/>
    <w:rsid w:val="00D920B0"/>
    <w:rsid w:val="00DB02D9"/>
    <w:rsid w:val="00DB05D8"/>
    <w:rsid w:val="00DB59F1"/>
    <w:rsid w:val="00DD4992"/>
    <w:rsid w:val="00DE5602"/>
    <w:rsid w:val="00DF09AA"/>
    <w:rsid w:val="00DF64DF"/>
    <w:rsid w:val="00DF78E0"/>
    <w:rsid w:val="00E01DD4"/>
    <w:rsid w:val="00E02303"/>
    <w:rsid w:val="00E1302F"/>
    <w:rsid w:val="00E13134"/>
    <w:rsid w:val="00E30024"/>
    <w:rsid w:val="00E46C70"/>
    <w:rsid w:val="00E47733"/>
    <w:rsid w:val="00E5011B"/>
    <w:rsid w:val="00E524CD"/>
    <w:rsid w:val="00E65FC6"/>
    <w:rsid w:val="00E7048E"/>
    <w:rsid w:val="00E72C07"/>
    <w:rsid w:val="00EA0B44"/>
    <w:rsid w:val="00EB1E9B"/>
    <w:rsid w:val="00EB2BDB"/>
    <w:rsid w:val="00EB4B20"/>
    <w:rsid w:val="00EB66C3"/>
    <w:rsid w:val="00EC44BC"/>
    <w:rsid w:val="00ED65A9"/>
    <w:rsid w:val="00ED683E"/>
    <w:rsid w:val="00EF3C50"/>
    <w:rsid w:val="00EF5210"/>
    <w:rsid w:val="00F10C18"/>
    <w:rsid w:val="00F256C4"/>
    <w:rsid w:val="00F26931"/>
    <w:rsid w:val="00F57CAE"/>
    <w:rsid w:val="00F669A4"/>
    <w:rsid w:val="00F713C4"/>
    <w:rsid w:val="00F73E78"/>
    <w:rsid w:val="00F74A1C"/>
    <w:rsid w:val="00F75202"/>
    <w:rsid w:val="00F855BA"/>
    <w:rsid w:val="00F86CD9"/>
    <w:rsid w:val="00F910DA"/>
    <w:rsid w:val="00FB4A99"/>
    <w:rsid w:val="00FC2914"/>
    <w:rsid w:val="00FF5C3F"/>
    <w:rsid w:val="011D4668"/>
    <w:rsid w:val="03803D68"/>
    <w:rsid w:val="040E5D41"/>
    <w:rsid w:val="04816A57"/>
    <w:rsid w:val="051528EC"/>
    <w:rsid w:val="05C978FD"/>
    <w:rsid w:val="0671705A"/>
    <w:rsid w:val="06732134"/>
    <w:rsid w:val="06B96375"/>
    <w:rsid w:val="07463F1D"/>
    <w:rsid w:val="078F2493"/>
    <w:rsid w:val="0A8F7AAE"/>
    <w:rsid w:val="0B4A5469"/>
    <w:rsid w:val="0B6B3F04"/>
    <w:rsid w:val="0B6F69F0"/>
    <w:rsid w:val="0BA15007"/>
    <w:rsid w:val="0C645CC6"/>
    <w:rsid w:val="0C955B7E"/>
    <w:rsid w:val="0DCF4D92"/>
    <w:rsid w:val="0F78357E"/>
    <w:rsid w:val="107F47F9"/>
    <w:rsid w:val="10DB3A4D"/>
    <w:rsid w:val="12E36BE9"/>
    <w:rsid w:val="13CA2B4E"/>
    <w:rsid w:val="15D942D4"/>
    <w:rsid w:val="17F65611"/>
    <w:rsid w:val="189A4AC9"/>
    <w:rsid w:val="195A59BF"/>
    <w:rsid w:val="1A1667EC"/>
    <w:rsid w:val="1A9F551B"/>
    <w:rsid w:val="1AD27C6F"/>
    <w:rsid w:val="1C307CA7"/>
    <w:rsid w:val="1D09144A"/>
    <w:rsid w:val="1D431C97"/>
    <w:rsid w:val="1E504BF2"/>
    <w:rsid w:val="1F4F4772"/>
    <w:rsid w:val="1F762BAF"/>
    <w:rsid w:val="20375FAB"/>
    <w:rsid w:val="20672782"/>
    <w:rsid w:val="219E3794"/>
    <w:rsid w:val="22463DDE"/>
    <w:rsid w:val="23991047"/>
    <w:rsid w:val="23B107E7"/>
    <w:rsid w:val="23B940CE"/>
    <w:rsid w:val="242F1397"/>
    <w:rsid w:val="2604714B"/>
    <w:rsid w:val="26680B0E"/>
    <w:rsid w:val="276607BD"/>
    <w:rsid w:val="2A85768A"/>
    <w:rsid w:val="2BC2788C"/>
    <w:rsid w:val="2D5072C9"/>
    <w:rsid w:val="2E89643F"/>
    <w:rsid w:val="2ED43E1F"/>
    <w:rsid w:val="2EF61F5F"/>
    <w:rsid w:val="2F204D2F"/>
    <w:rsid w:val="30280776"/>
    <w:rsid w:val="30D8752B"/>
    <w:rsid w:val="33020A40"/>
    <w:rsid w:val="347270AC"/>
    <w:rsid w:val="359C73A0"/>
    <w:rsid w:val="36160F00"/>
    <w:rsid w:val="378DC424"/>
    <w:rsid w:val="397B56DC"/>
    <w:rsid w:val="3A5A5133"/>
    <w:rsid w:val="3BC02155"/>
    <w:rsid w:val="3BF7E6BF"/>
    <w:rsid w:val="3C4538F8"/>
    <w:rsid w:val="3CD975B2"/>
    <w:rsid w:val="3D7D1865"/>
    <w:rsid w:val="3ED27DBD"/>
    <w:rsid w:val="40504E9C"/>
    <w:rsid w:val="4185378C"/>
    <w:rsid w:val="436879E0"/>
    <w:rsid w:val="43C60126"/>
    <w:rsid w:val="45A06791"/>
    <w:rsid w:val="47791038"/>
    <w:rsid w:val="49ED0155"/>
    <w:rsid w:val="4B9A1970"/>
    <w:rsid w:val="4B9A22C6"/>
    <w:rsid w:val="4D47054C"/>
    <w:rsid w:val="4E175B2C"/>
    <w:rsid w:val="4FDF2564"/>
    <w:rsid w:val="50571C9F"/>
    <w:rsid w:val="50AB003F"/>
    <w:rsid w:val="52353A0A"/>
    <w:rsid w:val="53637E30"/>
    <w:rsid w:val="560E14B9"/>
    <w:rsid w:val="597D2244"/>
    <w:rsid w:val="5A0D30B4"/>
    <w:rsid w:val="5B3429A4"/>
    <w:rsid w:val="5C146507"/>
    <w:rsid w:val="5C9D087A"/>
    <w:rsid w:val="5D35760E"/>
    <w:rsid w:val="5D5840D6"/>
    <w:rsid w:val="5F130E59"/>
    <w:rsid w:val="5F200A95"/>
    <w:rsid w:val="619135C2"/>
    <w:rsid w:val="62D04AAA"/>
    <w:rsid w:val="62E655DE"/>
    <w:rsid w:val="64126E1E"/>
    <w:rsid w:val="64C611F6"/>
    <w:rsid w:val="654B616B"/>
    <w:rsid w:val="65F77B57"/>
    <w:rsid w:val="65FF3AA9"/>
    <w:rsid w:val="660F3D1F"/>
    <w:rsid w:val="66152ACA"/>
    <w:rsid w:val="68B44D24"/>
    <w:rsid w:val="6BDF6CC4"/>
    <w:rsid w:val="6CFC2C49"/>
    <w:rsid w:val="6DB5058A"/>
    <w:rsid w:val="6FE90C92"/>
    <w:rsid w:val="70905002"/>
    <w:rsid w:val="70BB7C71"/>
    <w:rsid w:val="71B400B8"/>
    <w:rsid w:val="72EF1566"/>
    <w:rsid w:val="733B5877"/>
    <w:rsid w:val="733FD91D"/>
    <w:rsid w:val="73412F53"/>
    <w:rsid w:val="747947EB"/>
    <w:rsid w:val="748443E4"/>
    <w:rsid w:val="74F952E5"/>
    <w:rsid w:val="75483F2B"/>
    <w:rsid w:val="75A628C9"/>
    <w:rsid w:val="75B36462"/>
    <w:rsid w:val="76B27622"/>
    <w:rsid w:val="780A371A"/>
    <w:rsid w:val="784521A0"/>
    <w:rsid w:val="788D1579"/>
    <w:rsid w:val="7A6F2A3A"/>
    <w:rsid w:val="7BBB15F0"/>
    <w:rsid w:val="7C07A0F5"/>
    <w:rsid w:val="7D460711"/>
    <w:rsid w:val="7D717185"/>
    <w:rsid w:val="7D7635FF"/>
    <w:rsid w:val="7E172803"/>
    <w:rsid w:val="7F207CC7"/>
    <w:rsid w:val="7F52447F"/>
    <w:rsid w:val="ADB3EDF9"/>
    <w:rsid w:val="B59DAF38"/>
    <w:rsid w:val="BFBAAF01"/>
    <w:rsid w:val="D6FDEFC2"/>
    <w:rsid w:val="DFDE7D33"/>
    <w:rsid w:val="FC6D3AF9"/>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GB"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3">
    <w:name w:val="header"/>
    <w:basedOn w:val="1"/>
    <w:link w:val="11"/>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4">
    <w:name w:val="Normal (Web)"/>
    <w:basedOn w:val="1"/>
    <w:unhideWhenUsed/>
    <w:qFormat/>
    <w:uiPriority w:val="99"/>
    <w:pPr>
      <w:spacing w:before="100" w:beforeAutospacing="1" w:after="100" w:afterAutospacing="1"/>
    </w:pPr>
    <w:rPr>
      <w:rFonts w:ascii="宋体" w:hAnsi="宋体" w:eastAsia="宋体" w:cs="宋体"/>
    </w:rPr>
  </w:style>
  <w:style w:type="character" w:styleId="7">
    <w:name w:val="Strong"/>
    <w:qFormat/>
    <w:uiPriority w:val="0"/>
    <w:rPr>
      <w:b/>
      <w:bCs/>
    </w:rPr>
  </w:style>
  <w:style w:type="character" w:styleId="8">
    <w:name w:val="FollowedHyperlink"/>
    <w:basedOn w:val="6"/>
    <w:semiHidden/>
    <w:unhideWhenUsed/>
    <w:qFormat/>
    <w:uiPriority w:val="99"/>
    <w:rPr>
      <w:color w:val="954F72" w:themeColor="followedHyperlink"/>
      <w:u w:val="single"/>
      <w14:textFill>
        <w14:solidFill>
          <w14:schemeClr w14:val="folHlink"/>
        </w14:solidFill>
      </w14:textFill>
    </w:rPr>
  </w:style>
  <w:style w:type="character" w:styleId="9">
    <w:name w:val="Emphasis"/>
    <w:basedOn w:val="6"/>
    <w:qFormat/>
    <w:uiPriority w:val="20"/>
    <w:rPr>
      <w:i/>
      <w:iCs/>
    </w:rPr>
  </w:style>
  <w:style w:type="character" w:styleId="10">
    <w:name w:val="Hyperlink"/>
    <w:basedOn w:val="6"/>
    <w:unhideWhenUsed/>
    <w:qFormat/>
    <w:uiPriority w:val="99"/>
    <w:rPr>
      <w:color w:val="0563C1" w:themeColor="hyperlink"/>
      <w:u w:val="single"/>
      <w14:textFill>
        <w14:solidFill>
          <w14:schemeClr w14:val="hlink"/>
        </w14:solidFill>
      </w14:textFill>
    </w:rPr>
  </w:style>
  <w:style w:type="character" w:customStyle="1" w:styleId="11">
    <w:name w:val="页眉 字符"/>
    <w:basedOn w:val="6"/>
    <w:link w:val="3"/>
    <w:qFormat/>
    <w:uiPriority w:val="99"/>
    <w:rPr>
      <w:sz w:val="18"/>
      <w:szCs w:val="18"/>
    </w:rPr>
  </w:style>
  <w:style w:type="character" w:customStyle="1" w:styleId="12">
    <w:name w:val="页脚 字符"/>
    <w:basedOn w:val="6"/>
    <w:link w:val="2"/>
    <w:qFormat/>
    <w:uiPriority w:val="99"/>
    <w:rPr>
      <w:sz w:val="18"/>
      <w:szCs w:val="18"/>
    </w:rPr>
  </w:style>
  <w:style w:type="character" w:customStyle="1" w:styleId="13">
    <w:name w:val="未处理的提及1"/>
    <w:basedOn w:val="6"/>
    <w:semiHidden/>
    <w:unhideWhenUsed/>
    <w:qFormat/>
    <w:uiPriority w:val="99"/>
    <w:rPr>
      <w:color w:val="605E5C"/>
      <w:shd w:val="clear" w:color="auto" w:fill="E1DFDD"/>
    </w:rPr>
  </w:style>
  <w:style w:type="paragraph" w:styleId="14">
    <w:name w:val="List Paragraph"/>
    <w:basedOn w:val="1"/>
    <w:qFormat/>
    <w:uiPriority w:val="34"/>
    <w:pPr>
      <w:ind w:firstLine="420" w:firstLineChars="200"/>
    </w:pPr>
  </w:style>
  <w:style w:type="character" w:customStyle="1" w:styleId="15">
    <w:name w:val="未处理的提及2"/>
    <w:basedOn w:val="6"/>
    <w:semiHidden/>
    <w:unhideWhenUsed/>
    <w:qFormat/>
    <w:uiPriority w:val="99"/>
    <w:rPr>
      <w:color w:val="605E5C"/>
      <w:shd w:val="clear" w:color="auto" w:fill="E1DFDD"/>
    </w:rPr>
  </w:style>
  <w:style w:type="character" w:customStyle="1" w:styleId="16">
    <w:name w:val="Unresolved Mention"/>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698</Words>
  <Characters>735</Characters>
  <Lines>16</Lines>
  <Paragraphs>4</Paragraphs>
  <TotalTime>18</TotalTime>
  <ScaleCrop>false</ScaleCrop>
  <LinksUpToDate>false</LinksUpToDate>
  <CharactersWithSpaces>736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2023-01-01T05:38:00Z</dcterms:created>
  <dc:creator>张 斌</dc:creator>
  <cp:lastModifiedBy>zxiao</cp:lastModifiedBy>
  <cp:lastPrinted>2023-01-11T19:09:00Z</cp:lastPrinted>
  <dcterms:modified xsi:type="dcterms:W3CDTF">2026-05-13T03:01:57Z</dcterms:modified>
  <cp:revision>137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ED9EE3DE5C524C4DBEEEAA165E07F26A_13</vt:lpwstr>
  </property>
  <property fmtid="{D5CDD505-2E9C-101B-9397-08002B2CF9AE}" pid="4" name="KSOTemplateDocerSaveRecord">
    <vt:lpwstr>eyJoZGlkIjoiMDM0ODM1OTU5YWIwNTY1Nzk2YjZjOGIzMTczNTE2MTEiLCJ1c2VySWQiOiIzNjIxODcyOTEifQ==</vt:lpwstr>
  </property>
</Properties>
</file>