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rPr>
        <w:t>“揭榜挂帅”社会实践课题征集表</w:t>
      </w:r>
    </w:p>
    <w:p w14:paraId="58AD185F">
      <w:pPr>
        <w:tabs>
          <w:tab w:val="left" w:pos="8640"/>
        </w:tabs>
        <w:adjustRightInd w:val="0"/>
        <w:snapToGrid w:val="0"/>
        <w:spacing w:line="560" w:lineRule="exact"/>
        <w:rPr>
          <w:rFonts w:ascii="方正黑体简体" w:eastAsia="方正黑体简体"/>
          <w:bCs/>
          <w:spacing w:val="6"/>
          <w:sz w:val="32"/>
          <w:szCs w:val="32"/>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adjustRightInd w:val="0"/>
              <w:spacing w:line="400" w:lineRule="exact"/>
              <w:jc w:val="center"/>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单位</w:t>
            </w:r>
            <w:r>
              <w:rPr>
                <w:rFonts w:hint="default" w:ascii="Times New Roman" w:hAnsi="Times New Roman" w:eastAsia="仿宋_GB2312" w:cs="Times New Roman"/>
                <w:sz w:val="32"/>
                <w:szCs w:val="32"/>
                <w:lang w:val="en-US"/>
              </w:rPr>
              <w:t>/教师</w:t>
            </w:r>
          </w:p>
        </w:tc>
        <w:tc>
          <w:tcPr>
            <w:tcW w:w="6932" w:type="dxa"/>
            <w:gridSpan w:val="3"/>
            <w:vAlign w:val="center"/>
          </w:tcPr>
          <w:p w14:paraId="1063F4AB">
            <w:pPr>
              <w:spacing w:line="400" w:lineRule="exact"/>
              <w:jc w:val="center"/>
              <w:textAlignment w:val="center"/>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bCs/>
                <w:spacing w:val="6"/>
                <w:sz w:val="32"/>
                <w:szCs w:val="32"/>
                <w:lang w:val="en-US"/>
              </w:rPr>
              <w:t>金融学院</w:t>
            </w:r>
            <w:r>
              <w:rPr>
                <w:rFonts w:hint="default" w:ascii="Times New Roman" w:hAnsi="Times New Roman" w:eastAsia="仿宋_GB2312" w:cs="Times New Roman"/>
                <w:bCs/>
                <w:spacing w:val="6"/>
                <w:sz w:val="32"/>
                <w:szCs w:val="32"/>
                <w:lang w:val="en-US" w:eastAsia="zh-CN"/>
              </w:rPr>
              <w:t>/</w:t>
            </w:r>
            <w:r>
              <w:rPr>
                <w:rFonts w:hint="default" w:ascii="Times New Roman" w:hAnsi="Times New Roman" w:eastAsia="仿宋_GB2312" w:cs="Times New Roman"/>
                <w:bCs/>
                <w:spacing w:val="6"/>
                <w:sz w:val="32"/>
                <w:szCs w:val="32"/>
                <w:lang w:val="en-US"/>
              </w:rPr>
              <w:t>高杰英、徐昕</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adjustRightInd w:val="0"/>
              <w:spacing w:line="4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rPr>
              <w:t>单位/项目</w:t>
            </w:r>
            <w:r>
              <w:rPr>
                <w:rFonts w:hint="default" w:ascii="Times New Roman" w:hAnsi="Times New Roman" w:eastAsia="仿宋_GB2312" w:cs="Times New Roman"/>
                <w:sz w:val="32"/>
                <w:szCs w:val="32"/>
              </w:rPr>
              <w:t>简介</w:t>
            </w:r>
          </w:p>
        </w:tc>
        <w:tc>
          <w:tcPr>
            <w:tcW w:w="6932" w:type="dxa"/>
            <w:gridSpan w:val="3"/>
            <w:vAlign w:val="center"/>
          </w:tcPr>
          <w:p w14:paraId="2B55433D">
            <w:pPr>
              <w:adjustRightInd w:val="0"/>
              <w:spacing w:line="400" w:lineRule="exact"/>
              <w:jc w:val="center"/>
              <w:rPr>
                <w:rFonts w:hint="default" w:ascii="Times New Roman" w:hAnsi="Times New Roman" w:eastAsia="仿宋_GB2312" w:cs="Times New Roman"/>
                <w:bCs/>
                <w:spacing w:val="6"/>
                <w:sz w:val="32"/>
                <w:szCs w:val="32"/>
                <w:lang w:val="en-US" w:eastAsia="zh-CN"/>
              </w:rPr>
            </w:pPr>
            <w:r>
              <w:rPr>
                <w:rFonts w:hint="default" w:ascii="Times New Roman" w:hAnsi="Times New Roman" w:eastAsia="仿宋_GB2312" w:cs="Times New Roman"/>
                <w:bCs/>
                <w:spacing w:val="6"/>
                <w:sz w:val="32"/>
                <w:szCs w:val="32"/>
                <w:lang w:val="en-US" w:eastAsia="zh-CN"/>
              </w:rPr>
              <w:t>金融学院</w:t>
            </w:r>
          </w:p>
          <w:p w14:paraId="50A007C6">
            <w:pPr>
              <w:adjustRightInd w:val="0"/>
              <w:spacing w:line="400" w:lineRule="exact"/>
              <w:jc w:val="left"/>
              <w:rPr>
                <w:rFonts w:hint="default" w:ascii="Times New Roman" w:hAnsi="Times New Roman" w:eastAsia="仿宋_GB2312" w:cs="Times New Roman"/>
                <w:bCs/>
                <w:spacing w:val="6"/>
                <w:sz w:val="32"/>
                <w:szCs w:val="32"/>
                <w:lang w:val="en-US"/>
              </w:rPr>
            </w:pPr>
            <w:r>
              <w:rPr>
                <w:rFonts w:hint="default" w:ascii="Times New Roman" w:hAnsi="Times New Roman" w:eastAsia="仿宋_GB2312" w:cs="Times New Roman"/>
                <w:bCs/>
                <w:spacing w:val="6"/>
                <w:sz w:val="32"/>
                <w:szCs w:val="32"/>
                <w:lang w:val="en-US" w:eastAsia="zh-CN"/>
              </w:rPr>
              <w:t>项目简介：</w:t>
            </w:r>
            <w:r>
              <w:rPr>
                <w:rFonts w:hint="eastAsia" w:ascii="方正仿宋简体" w:hAnsi="方正仿宋简体" w:eastAsia="方正仿宋简体" w:cs="方正仿宋简体"/>
                <w:bCs/>
                <w:spacing w:val="6"/>
                <w:sz w:val="32"/>
                <w:szCs w:val="32"/>
                <w:lang w:val="en-US" w:eastAsia="zh-CN"/>
              </w:rPr>
              <w:t>基于CBD发展研究基地决策咨询项目，研究我国新质生产力发展路径，展示揭榜挂帅在我国进展情况、促进企业关键核心技术突破路径和绩效。</w:t>
            </w:r>
            <w:r>
              <w:rPr>
                <w:rFonts w:hint="default" w:ascii="Times New Roman" w:hAnsi="Times New Roman" w:eastAsia="仿宋_GB2312" w:cs="Times New Roman"/>
                <w:bCs/>
                <w:spacing w:val="6"/>
                <w:sz w:val="32"/>
                <w:szCs w:val="32"/>
                <w:lang w:val="en-US"/>
              </w:rPr>
              <w:t xml:space="preserve">  </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adjustRightInd w:val="0"/>
              <w:spacing w:line="400" w:lineRule="exact"/>
              <w:jc w:val="center"/>
              <w:rPr>
                <w:rFonts w:hint="default" w:ascii="Times New Roman" w:hAnsi="Times New Roman" w:eastAsia="仿宋_GB2312" w:cs="Times New Roman"/>
                <w:bCs/>
                <w:spacing w:val="6"/>
                <w:sz w:val="32"/>
                <w:szCs w:val="32"/>
              </w:rPr>
            </w:pPr>
            <w:r>
              <w:rPr>
                <w:rFonts w:hint="default" w:ascii="Times New Roman" w:hAnsi="Times New Roman" w:eastAsia="仿宋_GB2312" w:cs="Times New Roman"/>
                <w:sz w:val="32"/>
                <w:szCs w:val="32"/>
                <w:lang w:val="en-US"/>
              </w:rPr>
              <w:t>联系人</w:t>
            </w:r>
          </w:p>
        </w:tc>
        <w:tc>
          <w:tcPr>
            <w:tcW w:w="3076" w:type="dxa"/>
            <w:vAlign w:val="center"/>
          </w:tcPr>
          <w:p w14:paraId="2CF70CAF">
            <w:pPr>
              <w:adjustRightInd w:val="0"/>
              <w:spacing w:line="400" w:lineRule="exact"/>
              <w:jc w:val="center"/>
              <w:rPr>
                <w:rFonts w:hint="default" w:ascii="Times New Roman" w:hAnsi="Times New Roman" w:eastAsia="仿宋_GB2312" w:cs="Times New Roman"/>
                <w:bCs/>
                <w:spacing w:val="6"/>
                <w:sz w:val="32"/>
                <w:szCs w:val="32"/>
                <w:lang w:val="en-US"/>
              </w:rPr>
            </w:pPr>
            <w:r>
              <w:rPr>
                <w:rFonts w:hint="default" w:ascii="Times New Roman" w:hAnsi="Times New Roman" w:eastAsia="仿宋_GB2312" w:cs="Times New Roman"/>
                <w:bCs/>
                <w:spacing w:val="6"/>
                <w:sz w:val="32"/>
                <w:szCs w:val="32"/>
                <w:lang w:val="en-US" w:eastAsia="zh-CN"/>
              </w:rPr>
              <w:t>高杰英</w:t>
            </w:r>
          </w:p>
        </w:tc>
        <w:tc>
          <w:tcPr>
            <w:tcW w:w="1073" w:type="dxa"/>
            <w:vAlign w:val="center"/>
          </w:tcPr>
          <w:p w14:paraId="3B7A0706">
            <w:pPr>
              <w:adjustRightInd w:val="0"/>
              <w:spacing w:line="4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rPr>
              <w:t>手机</w:t>
            </w:r>
          </w:p>
        </w:tc>
        <w:tc>
          <w:tcPr>
            <w:tcW w:w="2783" w:type="dxa"/>
            <w:vAlign w:val="center"/>
          </w:tcPr>
          <w:p w14:paraId="1CACB5AC">
            <w:pPr>
              <w:adjustRightInd w:val="0"/>
              <w:spacing w:line="4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bCs/>
                <w:spacing w:val="6"/>
                <w:sz w:val="32"/>
                <w:szCs w:val="32"/>
                <w:lang w:val="en-US" w:eastAsia="zh-CN"/>
              </w:rPr>
              <w:t>13641029087</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01C8D2F">
            <w:pPr>
              <w:adjustRightInd w:val="0"/>
              <w:snapToGrid w:val="0"/>
              <w:spacing w:line="440" w:lineRule="exact"/>
              <w:ind w:firstLine="640" w:firstLineChars="200"/>
              <w:jc w:val="both"/>
              <w:rPr>
                <w:rFonts w:hint="eastAsia" w:ascii="仿宋_GB2312" w:hAnsi="仿宋_GB2312" w:eastAsia="仿宋_GB2312" w:cs="仿宋_GB2312"/>
                <w:sz w:val="32"/>
                <w:szCs w:val="32"/>
                <w:lang w:val="en-US"/>
              </w:rPr>
            </w:pPr>
            <w:r>
              <w:rPr>
                <w:rFonts w:hint="eastAsia" w:ascii="宋体" w:hAnsi="宋体" w:eastAsia="宋体" w:cs="微软雅黑"/>
                <w:sz w:val="32"/>
                <w:szCs w:val="32"/>
                <w:lang w:val="en-US"/>
              </w:rPr>
              <w:t>揭榜挂帅制度促进企业关键核心技术突破</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15FDDDD0">
            <w:pPr>
              <w:adjustRightInd w:val="0"/>
              <w:spacing w:line="400" w:lineRule="exact"/>
              <w:ind w:firstLine="664" w:firstLineChars="200"/>
              <w:jc w:val="left"/>
              <w:rPr>
                <w:rFonts w:hint="eastAsia" w:ascii="方正仿宋简体" w:hAnsi="方正仿宋简体" w:eastAsia="方正仿宋简体" w:cs="方正仿宋简体"/>
                <w:bCs/>
                <w:spacing w:val="6"/>
                <w:sz w:val="32"/>
                <w:szCs w:val="32"/>
                <w:lang w:val="en-US" w:eastAsia="zh-CN"/>
              </w:rPr>
            </w:pPr>
            <w:r>
              <w:rPr>
                <w:rFonts w:hint="eastAsia" w:ascii="方正仿宋简体" w:hAnsi="方正仿宋简体" w:eastAsia="方正仿宋简体" w:cs="方正仿宋简体"/>
                <w:bCs/>
                <w:spacing w:val="6"/>
                <w:sz w:val="32"/>
                <w:szCs w:val="32"/>
                <w:lang w:val="en-US" w:eastAsia="zh-CN"/>
              </w:rPr>
              <w:t>关键核心技术突破是推动高水平科技自立自强和培育新质生产力的重要基础。近年来，各省份陆续实施“揭榜挂帅”制度，通过面向企业、高校、科研院所等主体公开发布技术需求榜单，引导创新资源向产业发展中的“卡点”“堵点”问题集中配置，为突破关键核心技术提供了新的制度安排。</w:t>
            </w:r>
          </w:p>
          <w:p w14:paraId="5AC569B3">
            <w:pPr>
              <w:adjustRightInd w:val="0"/>
              <w:spacing w:line="400" w:lineRule="exact"/>
              <w:ind w:firstLine="664" w:firstLineChars="200"/>
              <w:jc w:val="left"/>
              <w:rPr>
                <w:rFonts w:hint="eastAsia" w:ascii="方正仿宋简体" w:hAnsi="方正仿宋简体" w:eastAsia="方正仿宋简体" w:cs="方正仿宋简体"/>
                <w:bCs/>
                <w:spacing w:val="6"/>
                <w:sz w:val="32"/>
                <w:szCs w:val="32"/>
                <w:lang w:val="en-US" w:eastAsia="zh-CN"/>
              </w:rPr>
            </w:pPr>
            <w:r>
              <w:rPr>
                <w:rFonts w:hint="eastAsia" w:ascii="方正仿宋简体" w:hAnsi="方正仿宋简体" w:eastAsia="方正仿宋简体" w:cs="方正仿宋简体"/>
                <w:bCs/>
                <w:spacing w:val="6"/>
                <w:sz w:val="32"/>
                <w:szCs w:val="32"/>
                <w:lang w:val="en-US" w:eastAsia="zh-CN"/>
              </w:rPr>
              <w:t>本选题拟围绕“揭榜挂帅”政策实施路径和效果，是否以及如何促进企业关键核心技术突破展开研究，重点考察该制度能否通过明确产业技术需求、优化科研资源配置、强化需求牵引和任务导向，提升企业在战略性新兴产业和未来产业领域的关键核心技术创新能力。</w:t>
            </w:r>
          </w:p>
          <w:p w14:paraId="5A74ABD3">
            <w:pPr>
              <w:adjustRightInd w:val="0"/>
              <w:spacing w:line="400" w:lineRule="exact"/>
              <w:ind w:firstLine="664" w:firstLineChars="200"/>
              <w:jc w:val="left"/>
              <w:rPr>
                <w:rFonts w:hint="default" w:ascii="仿宋_GB2312" w:hAnsi="仿宋_GB2312" w:eastAsia="宋体" w:cs="仿宋_GB2312"/>
                <w:bCs/>
                <w:spacing w:val="6"/>
                <w:sz w:val="32"/>
                <w:szCs w:val="32"/>
                <w:lang w:val="en-US" w:eastAsia="zh-CN"/>
              </w:rPr>
            </w:pPr>
            <w:r>
              <w:rPr>
                <w:rFonts w:hint="eastAsia" w:ascii="方正仿宋简体" w:hAnsi="方正仿宋简体" w:eastAsia="方正仿宋简体" w:cs="方正仿宋简体"/>
                <w:bCs/>
                <w:spacing w:val="6"/>
                <w:sz w:val="32"/>
                <w:szCs w:val="32"/>
                <w:lang w:val="en-US" w:eastAsia="zh-CN"/>
              </w:rPr>
              <w:t>在研究设计上，对全国各省“揭榜挂帅”政策实施对企业关键核心技术突破的影响进行理论和实证分析。项目执行过程中培养学生三个方面的能力。第一，数据清洗处理能力。梳理企业关键核心技术突破能力，可依据《战略性新兴产业分类（2018）》以及相关国际专利分类参照关系，识别新一代信息技术、高端装备制造、新材料、生物产业、新能源汽车、新能源、节能环保、数字创意及相关服务业等领域的发明专利。通过上述指标构建，进一步检验“揭榜挂帅”政策对企业关键核心技术突破的促进作用。第二，实践调研能力。开展实践调研活动，选取典型代表性企业开展深度访谈与问卷调查，收集政策落地过程中的实施难点、企业参与动机、技术攻关成效及协同创新机制等一手资料。第三，团队合作交流沟通能力。参与课题组研讨，开展定性定量分析并撰写汇报相应研究成果。</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3FF4C7EC">
            <w:pPr>
              <w:adjustRightInd w:val="0"/>
              <w:spacing w:line="400" w:lineRule="exact"/>
              <w:ind w:firstLine="664" w:firstLineChars="200"/>
              <w:jc w:val="left"/>
              <w:rPr>
                <w:rFonts w:hint="default" w:ascii="仿宋_GB2312" w:hAnsi="仿宋_GB2312" w:eastAsia="宋体" w:cs="仿宋_GB2312"/>
                <w:sz w:val="32"/>
                <w:szCs w:val="32"/>
                <w:lang w:val="en-US" w:eastAsia="zh-CN"/>
              </w:rPr>
            </w:pPr>
            <w:r>
              <w:rPr>
                <w:rFonts w:hint="eastAsia" w:ascii="方正仿宋简体" w:hAnsi="方正仿宋简体" w:eastAsia="方正仿宋简体" w:cs="方正仿宋简体"/>
                <w:bCs/>
                <w:spacing w:val="6"/>
                <w:sz w:val="32"/>
                <w:szCs w:val="32"/>
                <w:lang w:val="en-US" w:eastAsia="zh-CN"/>
              </w:rPr>
              <w:t>要求形成一份较为完整且具备后续实证拓展基础的实践研究方案或阶段性研究报告，内容包括研究背景、理论逻辑、变量设定、数据来源、模型设计和预期结论等部分。成果重点包括两个方面：一是围绕省级或地市级“揭榜挂帅”政策实施情况开展较为深入的实地调研和调研报告。原则上应选取多个具有代表性的地区、主管部门、揭榜企业、高校科研院所或科技服务平台，系统梳理从技术需求发布、揭榜主体遴选到成果转化等关键环节信息，并形成调研记录、政策文本汇编、典型项目案例和问题清单。二是围绕“揭榜挂帅”政策实施与企业关键核心技术突破，整理较大规模、多来源、可匹配的研究数据。</w:t>
            </w:r>
          </w:p>
        </w:tc>
      </w:tr>
    </w:tbl>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9661676">
            <w:pPr>
              <w:adjustRightInd w:val="0"/>
              <w:snapToGrid w:val="0"/>
              <w:spacing w:line="440" w:lineRule="exact"/>
              <w:jc w:val="center"/>
              <w:rPr>
                <w:rFonts w:hint="eastAsia" w:ascii="仿宋_GB2312" w:hAnsi="仿宋_GB2312" w:eastAsia="仿宋_GB2312" w:cs="仿宋_GB2312"/>
                <w:sz w:val="32"/>
                <w:szCs w:val="32"/>
              </w:rPr>
            </w:pPr>
            <w:bookmarkStart w:id="0" w:name="OLE_LINK2"/>
            <w:r>
              <w:rPr>
                <w:rFonts w:hint="eastAsia" w:ascii="仿宋_GB2312" w:hAnsi="仿宋_GB2312" w:eastAsia="仿宋_GB2312" w:cs="仿宋_GB2312"/>
                <w:sz w:val="32"/>
                <w:szCs w:val="32"/>
                <w:lang w:val="en-US"/>
              </w:rPr>
              <w:t>资源支持</w:t>
            </w:r>
          </w:p>
        </w:tc>
        <w:tc>
          <w:tcPr>
            <w:tcW w:w="6689" w:type="dxa"/>
            <w:tcBorders>
              <w:tl2br w:val="nil"/>
              <w:tr2bl w:val="nil"/>
            </w:tcBorders>
            <w:shd w:val="clear" w:color="auto" w:fill="FFFFFF"/>
            <w:vAlign w:val="center"/>
          </w:tcPr>
          <w:p w14:paraId="23FE3A49">
            <w:pPr>
              <w:adjustRightInd w:val="0"/>
              <w:spacing w:line="400" w:lineRule="exact"/>
              <w:ind w:firstLine="664" w:firstLineChars="200"/>
              <w:jc w:val="left"/>
              <w:rPr>
                <w:rFonts w:hint="eastAsia" w:ascii="方正仿宋简体" w:hAnsi="方正仿宋简体" w:eastAsia="方正仿宋简体" w:cs="方正仿宋简体"/>
                <w:bCs/>
                <w:spacing w:val="6"/>
                <w:sz w:val="32"/>
                <w:szCs w:val="32"/>
                <w:lang w:val="en-US" w:eastAsia="zh-CN"/>
              </w:rPr>
            </w:pPr>
            <w:r>
              <w:rPr>
                <w:rFonts w:hint="eastAsia" w:ascii="方正仿宋简体" w:hAnsi="方正仿宋简体" w:eastAsia="方正仿宋简体" w:cs="方正仿宋简体"/>
                <w:bCs/>
                <w:spacing w:val="6"/>
                <w:sz w:val="32"/>
                <w:szCs w:val="32"/>
                <w:lang w:val="en-US" w:eastAsia="zh-CN"/>
              </w:rPr>
              <w:t>一、可利用金融科技实验室，指导学生使用国家知识产权局、企业专利数据库、CSMAR、国泰安、Wind、北大法宝以及地方政府官网等渠道收集政策与专利数据，通过算力支持完成相关指标计算。</w:t>
            </w:r>
          </w:p>
          <w:p w14:paraId="43EF8D90">
            <w:pPr>
              <w:adjustRightInd w:val="0"/>
              <w:spacing w:line="400" w:lineRule="exact"/>
              <w:ind w:firstLine="664" w:firstLineChars="200"/>
              <w:jc w:val="left"/>
              <w:rPr>
                <w:rFonts w:hint="default" w:ascii="方正仿宋简体" w:hAnsi="方正仿宋简体" w:eastAsia="方正仿宋简体" w:cs="方正仿宋简体"/>
                <w:bCs/>
                <w:spacing w:val="6"/>
                <w:sz w:val="32"/>
                <w:szCs w:val="32"/>
                <w:lang w:val="en-US" w:eastAsia="zh-CN"/>
              </w:rPr>
            </w:pPr>
            <w:r>
              <w:rPr>
                <w:rFonts w:hint="eastAsia" w:ascii="方正仿宋简体" w:hAnsi="方正仿宋简体" w:eastAsia="方正仿宋简体" w:cs="方正仿宋简体"/>
                <w:bCs/>
                <w:spacing w:val="6"/>
                <w:sz w:val="32"/>
                <w:szCs w:val="32"/>
                <w:lang w:val="en-US" w:eastAsia="zh-CN"/>
              </w:rPr>
              <w:t>二、可定期参加项目组博士生组会研讨学习和团队调研。</w:t>
            </w:r>
          </w:p>
          <w:p w14:paraId="212CBFFA">
            <w:pPr>
              <w:adjustRightInd w:val="0"/>
              <w:spacing w:line="400" w:lineRule="exact"/>
              <w:ind w:firstLine="664" w:firstLineChars="200"/>
              <w:jc w:val="left"/>
              <w:rPr>
                <w:rFonts w:hint="default" w:ascii="宋体" w:hAnsi="宋体" w:eastAsia="宋体" w:cs="___WRD_EMBED_SUB_53"/>
                <w:sz w:val="32"/>
                <w:szCs w:val="32"/>
                <w:lang w:val="en-US" w:eastAsia="zh-CN"/>
              </w:rPr>
            </w:pPr>
            <w:bookmarkStart w:id="1" w:name="_GoBack"/>
            <w:bookmarkEnd w:id="1"/>
            <w:r>
              <w:rPr>
                <w:rFonts w:hint="eastAsia" w:ascii="方正仿宋简体" w:hAnsi="方正仿宋简体" w:eastAsia="方正仿宋简体" w:cs="方正仿宋简体"/>
                <w:bCs/>
                <w:spacing w:val="6"/>
                <w:sz w:val="32"/>
                <w:szCs w:val="32"/>
                <w:lang w:val="en-US" w:eastAsia="zh-CN"/>
              </w:rPr>
              <w:t>三、可指导学生掌握双重差分等实证分析技术和研究报告写作，形成具有一定规范性的研究成果。</w:t>
            </w:r>
          </w:p>
        </w:tc>
      </w:tr>
      <w:bookmarkEnd w:id="0"/>
    </w:tbl>
    <w:p w14:paraId="2B09BF00">
      <w:pPr>
        <w:tabs>
          <w:tab w:val="left" w:pos="8640"/>
        </w:tabs>
        <w:adjustRightInd w:val="0"/>
        <w:snapToGrid w:val="0"/>
        <w:spacing w:line="560" w:lineRule="exact"/>
        <w:rPr>
          <w:rFonts w:hint="eastAsia" w:ascii="黑体" w:hAnsi="黑体" w:eastAsia="黑体" w:cs="黑体"/>
          <w:bCs/>
          <w:spacing w:val="6"/>
          <w:sz w:val="32"/>
          <w:szCs w:val="32"/>
          <w:lang w:val="en-US"/>
        </w:rPr>
      </w:pPr>
      <w:r>
        <w:rPr>
          <w:rFonts w:hint="eastAsia" w:ascii="黑体" w:hAnsi="黑体" w:eastAsia="黑体" w:cs="黑体"/>
          <w:bCs/>
          <w:spacing w:val="6"/>
          <w:sz w:val="32"/>
          <w:szCs w:val="32"/>
          <w:lang w:val="en-US"/>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提交时间</w:t>
            </w:r>
          </w:p>
        </w:tc>
        <w:tc>
          <w:tcPr>
            <w:tcW w:w="6689" w:type="dxa"/>
            <w:tcBorders>
              <w:tl2br w:val="nil"/>
              <w:tr2bl w:val="nil"/>
            </w:tcBorders>
            <w:shd w:val="clear" w:color="auto" w:fill="FFFFFF"/>
            <w:vAlign w:val="center"/>
          </w:tcPr>
          <w:p w14:paraId="6AE6DF08">
            <w:pPr>
              <w:adjustRightInd w:val="0"/>
              <w:snapToGrid w:val="0"/>
              <w:spacing w:line="440" w:lineRule="exact"/>
              <w:jc w:val="center"/>
              <w:rPr>
                <w:rFonts w:hint="eastAsia" w:ascii="仿宋_GB2312" w:hAnsi="仿宋_GB2312" w:eastAsia="仿宋_GB2312" w:cs="仿宋_GB2312"/>
                <w:bCs/>
                <w:sz w:val="32"/>
                <w:szCs w:val="32"/>
                <w:lang w:val="en-US"/>
              </w:rPr>
            </w:pPr>
            <w:r>
              <w:rPr>
                <w:rFonts w:hint="eastAsia" w:ascii="仿宋_GB2312" w:hAnsi="仿宋_GB2312" w:eastAsia="仿宋_GB2312" w:cs="仿宋_GB2312"/>
                <w:bCs/>
                <w:sz w:val="32"/>
                <w:szCs w:val="32"/>
                <w:lang w:val="en-US"/>
              </w:rPr>
              <w:t>5月27日前，提交符合榜单要求的实践方案</w:t>
            </w:r>
          </w:p>
          <w:p w14:paraId="0A1E76D2">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bCs/>
                <w:sz w:val="32"/>
                <w:szCs w:val="32"/>
                <w:lang w:val="en-US"/>
              </w:rPr>
              <w:t>注：此实践方案为遴选挂帅团队的重要材料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提交邮箱</w:t>
            </w:r>
          </w:p>
        </w:tc>
        <w:tc>
          <w:tcPr>
            <w:tcW w:w="6689" w:type="dxa"/>
            <w:tcBorders>
              <w:tl2br w:val="nil"/>
              <w:tr2bl w:val="nil"/>
            </w:tcBorders>
            <w:shd w:val="clear" w:color="auto" w:fill="FFFFFF"/>
            <w:vAlign w:val="center"/>
          </w:tcPr>
          <w:p w14:paraId="30CDA0F4">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bCs/>
                <w:sz w:val="32"/>
                <w:szCs w:val="32"/>
                <w:lang w:val="en-US"/>
              </w:rPr>
              <w:t>gaojieying@cueb.edu.cn</w:t>
            </w:r>
          </w:p>
        </w:tc>
      </w:tr>
    </w:tbl>
    <w:p w14:paraId="0C6B82F3">
      <w:pPr>
        <w:tabs>
          <w:tab w:val="left" w:pos="8640"/>
        </w:tabs>
        <w:adjustRightInd w:val="0"/>
        <w:snapToGrid w:val="0"/>
        <w:spacing w:line="560" w:lineRule="exact"/>
        <w:rPr>
          <w:rFonts w:ascii="方正楷体简体" w:hAnsi="方正楷体简体" w:eastAsia="方正楷体简体" w:cs="方正楷体简体"/>
          <w:lang w:val="en-US"/>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AF3ACD-B5A9-49AB-BDF7-F98A8E8BDC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61172992-886A-41AA-8DA5-33EDAC83874E}"/>
  </w:font>
  <w:font w:name="方正黑体简体">
    <w:panose1 w:val="02000000000000000000"/>
    <w:charset w:val="86"/>
    <w:family w:val="auto"/>
    <w:pitch w:val="default"/>
    <w:sig w:usb0="A00002BF" w:usb1="184F6CFA" w:usb2="00000012" w:usb3="00000000" w:csb0="00040001" w:csb1="00000000"/>
    <w:embedRegular r:id="rId3" w:fontKey="{3BDA597D-E5BD-4CEB-9D88-923FCFDFC2B9}"/>
  </w:font>
  <w:font w:name="仿宋_GB2312">
    <w:panose1 w:val="02010609030101010101"/>
    <w:charset w:val="86"/>
    <w:family w:val="auto"/>
    <w:pitch w:val="default"/>
    <w:sig w:usb0="00000001" w:usb1="080E0000" w:usb2="00000000" w:usb3="00000000" w:csb0="00040000" w:csb1="00000000"/>
    <w:embedRegular r:id="rId4" w:fontKey="{000E746E-717A-4DB4-81EA-F31E51E9ACBC}"/>
  </w:font>
  <w:font w:name="微软雅黑">
    <w:panose1 w:val="020B0503020204020204"/>
    <w:charset w:val="86"/>
    <w:family w:val="swiss"/>
    <w:pitch w:val="default"/>
    <w:sig w:usb0="80000287" w:usb1="2ACF3C50" w:usb2="00000016" w:usb3="00000000" w:csb0="0004001F" w:csb1="00000000"/>
    <w:embedRegular r:id="rId5" w:fontKey="{69539469-485B-4A7D-BA94-5EF7A16CC26C}"/>
  </w:font>
  <w:font w:name="___WRD_EMBED_SUB_53">
    <w:altName w:val="微软雅黑"/>
    <w:panose1 w:val="00000000000000000000"/>
    <w:charset w:val="86"/>
    <w:family w:val="auto"/>
    <w:pitch w:val="default"/>
    <w:sig w:usb0="00000000" w:usb1="00000000" w:usb2="00000010" w:usb3="00000000" w:csb0="00040000" w:csb1="00000000"/>
    <w:embedRegular r:id="rId6" w:fontKey="{0B43C3C7-1E5C-46F6-B6B7-25480F5779E1}"/>
  </w:font>
  <w:font w:name="方正楷体简体">
    <w:panose1 w:val="02000000000000000000"/>
    <w:charset w:val="86"/>
    <w:family w:val="auto"/>
    <w:pitch w:val="default"/>
    <w:sig w:usb0="A00002BF" w:usb1="184F6CFA" w:usb2="00000012" w:usb3="00000000" w:csb0="00040001" w:csb1="00000000"/>
    <w:embedRegular r:id="rId7" w:fontKey="{9848A840-F20A-4B6A-94C6-5B7EDE074406}"/>
  </w:font>
  <w:font w:name="WPSEMBED1">
    <w:panose1 w:val="02000000000000000000"/>
    <w:charset w:val="86"/>
    <w:family w:val="auto"/>
    <w:pitch w:val="default"/>
    <w:sig w:usb0="A00002BF" w:usb1="184F6CFA" w:usb2="00000012" w:usb3="00000000" w:csb0="00040001" w:csb1="00000000"/>
  </w:font>
  <w:font w:name="WPSEMBED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仿宋简体">
    <w:panose1 w:val="02000000000000000000"/>
    <w:charset w:val="86"/>
    <w:family w:val="auto"/>
    <w:pitch w:val="default"/>
    <w:sig w:usb0="A00002BF" w:usb1="184F6CFA" w:usb2="00000012" w:usb3="00000000" w:csb0="00040001" w:csb1="00000000"/>
    <w:embedRegular r:id="rId8" w:fontKey="{1FEB53D7-FD17-48B0-9BD2-B0E79E78FE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rPr>
            <w:rFonts w:hint="eastAsia"/>
          </w:rPr>
        </w:pPr>
        <w:r>
          <w:fldChar w:fldCharType="begin"/>
        </w:r>
        <w:r>
          <w:instrText xml:space="preserve">PAGE   \* MERGEFORMAT</w:instrText>
        </w:r>
        <w:r>
          <w:fldChar w:fldCharType="separate"/>
        </w:r>
        <w:r>
          <w:rPr>
            <w:lang w:val="zh-CN"/>
          </w:rPr>
          <w:t>4</w:t>
        </w:r>
        <w:r>
          <w:fldChar w:fldCharType="end"/>
        </w:r>
      </w:p>
    </w:sdtContent>
  </w:sdt>
  <w:p w14:paraId="1FC8ACBD">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2605B"/>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41BE"/>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5253"/>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A691E"/>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C019E"/>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A379E"/>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3F4AC1"/>
    <w:rsid w:val="0C645CC6"/>
    <w:rsid w:val="0C955B7E"/>
    <w:rsid w:val="0DCF4D92"/>
    <w:rsid w:val="0F78357E"/>
    <w:rsid w:val="107F47F9"/>
    <w:rsid w:val="10DB3A4D"/>
    <w:rsid w:val="12E36BE9"/>
    <w:rsid w:val="12EC5FA1"/>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7C3AB9"/>
    <w:rsid w:val="359C73A0"/>
    <w:rsid w:val="36160F00"/>
    <w:rsid w:val="397B56DC"/>
    <w:rsid w:val="3A5A5133"/>
    <w:rsid w:val="3BC02155"/>
    <w:rsid w:val="3BF7E6BF"/>
    <w:rsid w:val="3C4538F8"/>
    <w:rsid w:val="3CD975B2"/>
    <w:rsid w:val="3D7D1865"/>
    <w:rsid w:val="3ED27DBD"/>
    <w:rsid w:val="3FCF72B9"/>
    <w:rsid w:val="40504E9C"/>
    <w:rsid w:val="40AF3DAB"/>
    <w:rsid w:val="4185378C"/>
    <w:rsid w:val="436879E0"/>
    <w:rsid w:val="45A06791"/>
    <w:rsid w:val="47791038"/>
    <w:rsid w:val="49ED0155"/>
    <w:rsid w:val="4B9A1970"/>
    <w:rsid w:val="4B9A22C6"/>
    <w:rsid w:val="4CD96323"/>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0D7C25"/>
    <w:rsid w:val="784521A0"/>
    <w:rsid w:val="788D1579"/>
    <w:rsid w:val="78BF024C"/>
    <w:rsid w:val="794C38BE"/>
    <w:rsid w:val="7A6F2A3A"/>
    <w:rsid w:val="7BBB15F0"/>
    <w:rsid w:val="7C07A0F5"/>
    <w:rsid w:val="7D460711"/>
    <w:rsid w:val="7D717185"/>
    <w:rsid w:val="7D7635FF"/>
    <w:rsid w:val="7E172803"/>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未处理的提及3"/>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1524</Words>
  <Characters>1568</Characters>
  <Lines>8</Lines>
  <Paragraphs>2</Paragraphs>
  <TotalTime>34</TotalTime>
  <ScaleCrop>false</ScaleCrop>
  <LinksUpToDate>false</LinksUpToDate>
  <CharactersWithSpaces>1570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2026-05-11T03:31:00Z</dcterms:created>
  <dc:creator>张 斌</dc:creator>
  <cp:lastModifiedBy>FEC-刘海</cp:lastModifiedBy>
  <cp:lastPrinted>2023-01-11T03:09:00Z</cp:lastPrinted>
  <dcterms:modified xsi:type="dcterms:W3CDTF">2026-05-13T02:16:26Z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FF298DAEB9DB4BF285BA60E2A61ED8DB_13</vt:lpwstr>
  </property>
  <property fmtid="{D5CDD505-2E9C-101B-9397-08002B2CF9AE}" pid="4" name="KSOTemplateDocerSaveRecord">
    <vt:lpwstr>eyJoZGlkIjoiMjdjODc5YWVhMmYwZjRmNWM2MTdkNGU2NzEyNDAyOTUiLCJ1c2VySWQiOiI4OTg0NTc5MDEifQ==</vt:lpwstr>
  </property>
</Properties>
</file>