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7E468">
      <w:pPr>
        <w:tabs>
          <w:tab w:val="left" w:pos="3840"/>
          <w:tab w:val="left" w:pos="8640"/>
        </w:tabs>
        <w:adjustRightInd w:val="0"/>
        <w:snapToGrid w:val="0"/>
        <w:spacing w:line="640" w:lineRule="exact"/>
        <w:jc w:val="center"/>
        <w:rPr>
          <w:rFonts w:ascii="方正小标宋简体" w:eastAsia="方正小标宋简体"/>
          <w:bCs/>
          <w:sz w:val="44"/>
          <w:szCs w:val="44"/>
          <w:lang w:val="en-US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“揭榜挂帅”社会实践课题征集表</w:t>
      </w:r>
    </w:p>
    <w:p w14:paraId="30FDA7DB">
      <w:pPr>
        <w:tabs>
          <w:tab w:val="left" w:pos="8640"/>
        </w:tabs>
        <w:adjustRightInd w:val="0"/>
        <w:snapToGrid w:val="0"/>
        <w:spacing w:line="560" w:lineRule="exact"/>
        <w:rPr>
          <w:rFonts w:ascii="方正黑体简体" w:eastAsia="方正黑体简体"/>
          <w:bCs/>
          <w:spacing w:val="6"/>
          <w:sz w:val="32"/>
          <w:szCs w:val="32"/>
        </w:rPr>
      </w:pPr>
    </w:p>
    <w:p w14:paraId="6CB5263D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一、</w:t>
      </w: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 w:eastAsia="zh-CN"/>
        </w:rPr>
        <w:t>出题方</w:t>
      </w: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信息</w:t>
      </w:r>
    </w:p>
    <w:tbl>
      <w:tblPr>
        <w:tblStyle w:val="5"/>
        <w:tblW w:w="8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076"/>
        <w:gridCol w:w="1073"/>
        <w:gridCol w:w="2783"/>
      </w:tblGrid>
      <w:tr w14:paraId="63509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668" w:type="dxa"/>
            <w:vAlign w:val="center"/>
          </w:tcPr>
          <w:p w14:paraId="3F0998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/教师</w:t>
            </w:r>
          </w:p>
        </w:tc>
        <w:tc>
          <w:tcPr>
            <w:tcW w:w="6932" w:type="dxa"/>
            <w:gridSpan w:val="3"/>
            <w:vAlign w:val="center"/>
          </w:tcPr>
          <w:p w14:paraId="182CB9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丰台区大红门街道</w:t>
            </w:r>
          </w:p>
        </w:tc>
      </w:tr>
      <w:tr w14:paraId="5D3EA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668" w:type="dxa"/>
            <w:vAlign w:val="center"/>
          </w:tcPr>
          <w:p w14:paraId="6C980B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/项目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简介</w:t>
            </w:r>
          </w:p>
        </w:tc>
        <w:tc>
          <w:tcPr>
            <w:tcW w:w="6932" w:type="dxa"/>
            <w:gridSpan w:val="3"/>
            <w:vAlign w:val="center"/>
          </w:tcPr>
          <w:p w14:paraId="778C7818">
            <w:pPr>
              <w:keepNext w:val="0"/>
              <w:keepLines w:val="0"/>
              <w:pageBreakBefore w:val="0"/>
              <w:widowControl w:val="0"/>
              <w:kinsoku/>
              <w:wordWrap w:val="0"/>
              <w:topLinePunct w:val="0"/>
              <w:autoSpaceDE/>
              <w:autoSpaceDN/>
              <w:bidi w:val="0"/>
              <w:adjustRightInd w:val="0"/>
              <w:snapToGrid w:val="0"/>
              <w:ind w:firstLine="504" w:firstLineChars="2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0000FF"/>
                <w:spacing w:val="6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spacing w:val="6"/>
                <w:szCs w:val="28"/>
                <w:lang w:val="en-US" w:eastAsia="zh-CN"/>
              </w:rPr>
              <w:t>大红门街道成立于1960年，位于丰台区东部，东至光彩路，南至南四环中路，西至马家堡东路、临泓路、凉水河，北至南三环，辖区面积6.02平方公里，下设19个社区，2个行政村，常住人口约11.09万人。是北京南中轴地区的重要组成部分，21世纪初大红门发展成为我国北方地区最大的服装纺织品集散地；新时代以来，贯彻北京市“疏整促”专项行动部署，完成批发市场疏解，后续按照地区发展规划大红门地区定位为“首都商务新区”，未来功能定位是新时代服务保障首都功能的示范区、带动城市南部地区发展的引领区、有国际吸引力的首都商务新高地和有世界影响力的文化艺术新中心。街道明确提出“焕新南中轴、礼乐大红门”发展目标。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沿南苑路布局大型国家级公共建筑和文化商务办公建筑，打造“礼轴”；沿大红门路古御道布局特色商业和休闲空间，形成“乐轴”；丰台区政务服务中心、丰台区图书馆、南中轴国际文化科技园引领发展，中央芭蕾舞团</w:t>
            </w:r>
            <w:r>
              <w:rPr>
                <w:rFonts w:hint="eastAsia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业务用房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即将建成，国家自然博物馆、首都规划展览馆</w:t>
            </w:r>
            <w:r>
              <w:rPr>
                <w:rFonts w:hint="eastAsia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等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分批</w:t>
            </w:r>
            <w:r>
              <w:rPr>
                <w:rFonts w:hint="eastAsia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规划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建设。辖区内资源禀赋独特，形成了深厚的</w:t>
            </w:r>
            <w:r>
              <w:rPr>
                <w:rFonts w:hint="eastAsia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文化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、科技</w:t>
            </w:r>
            <w:r>
              <w:rPr>
                <w:rFonts w:hint="eastAsia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、体育、教育多元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资源矩阵，当前街道正处于城市更新提速、产业转型攻坚、基层治理提质关键期，街道急需汇聚青年才智，破解文化品牌塑造、青春经济培育及多元主体协同治理难题，实现从传统商贸区向</w:t>
            </w:r>
            <w:r>
              <w:rPr>
                <w:rFonts w:hint="eastAsia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首都商务新高地、文体艺术新中心、宜居宜业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活力新地标的跨越式转型。</w:t>
            </w:r>
          </w:p>
        </w:tc>
      </w:tr>
      <w:tr w14:paraId="6C616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668" w:type="dxa"/>
            <w:vAlign w:val="center"/>
          </w:tcPr>
          <w:p w14:paraId="2BE65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联系人</w:t>
            </w:r>
          </w:p>
        </w:tc>
        <w:tc>
          <w:tcPr>
            <w:tcW w:w="3076" w:type="dxa"/>
            <w:vAlign w:val="center"/>
          </w:tcPr>
          <w:p w14:paraId="546C0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陈晓</w:t>
            </w:r>
          </w:p>
        </w:tc>
        <w:tc>
          <w:tcPr>
            <w:tcW w:w="1073" w:type="dxa"/>
            <w:vAlign w:val="center"/>
          </w:tcPr>
          <w:p w14:paraId="54B935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手机</w:t>
            </w:r>
          </w:p>
        </w:tc>
        <w:tc>
          <w:tcPr>
            <w:tcW w:w="2783" w:type="dxa"/>
            <w:vAlign w:val="center"/>
          </w:tcPr>
          <w:p w14:paraId="5E85DE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010-83951802</w:t>
            </w:r>
          </w:p>
        </w:tc>
      </w:tr>
    </w:tbl>
    <w:p w14:paraId="1AAE3A79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二、选题说明</w:t>
      </w:r>
    </w:p>
    <w:tbl>
      <w:tblPr>
        <w:tblStyle w:val="5"/>
        <w:tblW w:w="861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87"/>
        <w:gridCol w:w="6724"/>
      </w:tblGrid>
      <w:tr w14:paraId="3502C6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188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69205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题目</w:t>
            </w:r>
          </w:p>
        </w:tc>
        <w:tc>
          <w:tcPr>
            <w:tcW w:w="6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7FE98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bookmarkStart w:id="1" w:name="_GoBack"/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首都商务新区背景下的大红门街道基层治理与城市更新路径探索</w:t>
            </w:r>
            <w:bookmarkEnd w:id="1"/>
          </w:p>
        </w:tc>
      </w:tr>
      <w:tr w14:paraId="327BB6A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771" w:hRule="atLeast"/>
          <w:jc w:val="center"/>
        </w:trPr>
        <w:tc>
          <w:tcPr>
            <w:tcW w:w="188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AEE8D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题目介绍</w:t>
            </w:r>
          </w:p>
        </w:tc>
        <w:tc>
          <w:tcPr>
            <w:tcW w:w="6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83B7E3C">
            <w:pPr>
              <w:keepNext w:val="0"/>
              <w:keepLines w:val="0"/>
              <w:pageBreakBefore w:val="0"/>
              <w:widowControl w:val="0"/>
              <w:kinsoku/>
              <w:wordWrap w:val="0"/>
              <w:topLinePunct w:val="0"/>
              <w:autoSpaceDE/>
              <w:autoSpaceDN/>
              <w:bidi w:val="0"/>
              <w:adjustRightInd w:val="0"/>
              <w:snapToGrid w:val="0"/>
              <w:ind w:firstLine="506" w:firstLineChars="200"/>
              <w:jc w:val="both"/>
              <w:rPr>
                <w:rFonts w:hint="default" w:ascii="Times New Roman" w:hAnsi="Times New Roman" w:eastAsia="仿宋_GB2312" w:cs="Times New Roman"/>
                <w:b/>
                <w:bCs w:val="0"/>
                <w:color w:val="auto"/>
                <w:spacing w:val="6"/>
                <w:szCs w:val="28"/>
                <w:lang w:val="en-US" w:eastAsia="zh-CN"/>
              </w:rPr>
            </w:pPr>
          </w:p>
          <w:p w14:paraId="75B51D84">
            <w:pPr>
              <w:keepNext w:val="0"/>
              <w:keepLines w:val="0"/>
              <w:pageBreakBefore w:val="0"/>
              <w:widowControl w:val="0"/>
              <w:kinsoku/>
              <w:wordWrap w:val="0"/>
              <w:topLinePunct w:val="0"/>
              <w:autoSpaceDE/>
              <w:autoSpaceDN/>
              <w:bidi w:val="0"/>
              <w:adjustRightInd w:val="0"/>
              <w:snapToGrid w:val="0"/>
              <w:ind w:firstLine="506" w:firstLineChars="200"/>
              <w:jc w:val="both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color w:val="auto"/>
                <w:spacing w:val="6"/>
                <w:szCs w:val="28"/>
                <w:lang w:val="en-US" w:eastAsia="zh-CN"/>
              </w:rPr>
              <w:t>选题背景：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在“首都商务新区”建设全面提速的背景下，大红门街道正聚焦“焕新南中轴、礼乐大红门”发展规划，面临着城市更新、产业升级与基层治理现代化的三重命题。如何让深厚的文化底蕴“活”起来并融入城市景观，如何精准对接青年需求并转化南中轴辐射效应为“青春经济”，如何做实党建引领机制并让辖区大单位资源深度参与共建，是从传统过渡区向高质量发展示范区转型的核心突破口。本次课题扎根大红门地区，聚焦“文化赋能、青年发展、多元共治”三大关键领域，引导青年学子深入基层一线，为基层治理和城市更新提供兼具创意与落地性的“大红门方案”。</w:t>
            </w:r>
          </w:p>
          <w:p w14:paraId="4F43392B">
            <w:pPr>
              <w:keepNext w:val="0"/>
              <w:keepLines w:val="0"/>
              <w:pageBreakBefore w:val="0"/>
              <w:widowControl w:val="0"/>
              <w:kinsoku/>
              <w:wordWrap w:val="0"/>
              <w:topLinePunct w:val="0"/>
              <w:autoSpaceDE/>
              <w:autoSpaceDN/>
              <w:bidi w:val="0"/>
              <w:adjustRightInd w:val="0"/>
              <w:snapToGrid w:val="0"/>
              <w:ind w:left="480" w:leftChars="200" w:firstLine="0" w:firstLineChars="0"/>
              <w:jc w:val="both"/>
              <w:rPr>
                <w:rFonts w:hint="default" w:ascii="Times New Roman" w:hAnsi="Times New Roman" w:eastAsia="仿宋_GB2312" w:cs="Times New Roman"/>
                <w:b/>
                <w:bCs w:val="0"/>
                <w:color w:val="auto"/>
                <w:spacing w:val="6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color w:val="auto"/>
                <w:spacing w:val="6"/>
                <w:szCs w:val="28"/>
                <w:lang w:val="en-US" w:eastAsia="zh-CN"/>
              </w:rPr>
              <w:t>方向一：文脉铸魂・美绘家园</w:t>
            </w:r>
            <w:r>
              <w:rPr>
                <w:rFonts w:hint="eastAsia" w:eastAsia="仿宋_GB2312" w:cs="Times New Roman"/>
                <w:b/>
                <w:bCs w:val="0"/>
                <w:color w:val="auto"/>
                <w:spacing w:val="6"/>
                <w:szCs w:val="28"/>
                <w:lang w:val="en-US" w:eastAsia="zh-CN"/>
              </w:rPr>
              <w:t>：</w:t>
            </w:r>
            <w:r>
              <w:rPr>
                <w:rFonts w:hint="eastAsia" w:ascii="Times New Roman" w:hAnsi="Times New Roman" w:eastAsia="仿宋_GB2312" w:cs="Times New Roman"/>
                <w:b/>
                <w:bCs w:val="0"/>
                <w:color w:val="auto"/>
                <w:spacing w:val="6"/>
                <w:szCs w:val="28"/>
                <w:lang w:val="en-US" w:eastAsia="zh-CN"/>
              </w:rPr>
              <w:t>大红门</w:t>
            </w:r>
            <w:r>
              <w:rPr>
                <w:rFonts w:hint="default" w:ascii="Times New Roman" w:hAnsi="Times New Roman" w:eastAsia="仿宋_GB2312" w:cs="Times New Roman"/>
                <w:b/>
                <w:bCs w:val="0"/>
                <w:color w:val="auto"/>
                <w:spacing w:val="6"/>
                <w:szCs w:val="28"/>
                <w:lang w:val="en-US" w:eastAsia="zh-CN"/>
              </w:rPr>
              <w:t>文化基因解码与“花</w:t>
            </w:r>
          </w:p>
          <w:p w14:paraId="0B41D6AA">
            <w:pPr>
              <w:keepNext w:val="0"/>
              <w:keepLines w:val="0"/>
              <w:pageBreakBefore w:val="0"/>
              <w:widowControl w:val="0"/>
              <w:kinsoku/>
              <w:wordWrap w:val="0"/>
              <w:topLinePunct w:val="0"/>
              <w:autoSpaceDE/>
              <w:autoSpaceDN/>
              <w:bidi w:val="0"/>
              <w:adjustRightInd w:val="0"/>
              <w:snapToGrid w:val="0"/>
              <w:jc w:val="both"/>
              <w:rPr>
                <w:rFonts w:hint="default" w:ascii="Times New Roman" w:hAnsi="Times New Roman" w:eastAsia="仿宋_GB2312" w:cs="Times New Roman"/>
                <w:b/>
                <w:bCs w:val="0"/>
                <w:color w:val="auto"/>
                <w:spacing w:val="6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color w:val="auto"/>
                <w:spacing w:val="6"/>
                <w:szCs w:val="28"/>
                <w:lang w:val="en-US" w:eastAsia="zh-CN"/>
              </w:rPr>
              <w:t>园城市”美学设计</w:t>
            </w:r>
          </w:p>
          <w:p w14:paraId="05789125">
            <w:pPr>
              <w:keepNext w:val="0"/>
              <w:keepLines w:val="0"/>
              <w:pageBreakBefore w:val="0"/>
              <w:widowControl w:val="0"/>
              <w:kinsoku/>
              <w:wordWrap w:val="0"/>
              <w:topLinePunct w:val="0"/>
              <w:autoSpaceDE/>
              <w:autoSpaceDN/>
              <w:bidi w:val="0"/>
              <w:adjustRightInd w:val="0"/>
              <w:snapToGrid w:val="0"/>
              <w:ind w:firstLine="504" w:firstLineChars="200"/>
              <w:jc w:val="both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选题定位： 挖掘大红门深厚的历史文脉</w:t>
            </w:r>
            <w:r>
              <w:rPr>
                <w:rFonts w:hint="eastAsia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红色基因</w:t>
            </w:r>
            <w:r>
              <w:rPr>
                <w:rFonts w:hint="eastAsia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和商贸记忆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，结合首都商务新区建设和国家自然博物馆、中央芭蕾舞团等地标元素，开发街道专属文化IP与系列衍生品。结合“丰彩城市艺术季”，在辖区文化公园、老旧小区、重点大街路口设计兼具</w:t>
            </w: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大红门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气韵与现代美学的微景观、艺术装置</w:t>
            </w:r>
            <w:r>
              <w:rPr>
                <w:rFonts w:hint="eastAsia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或绿色景观设计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，以文化美学赋能花园城市建设与城市品质提升。</w:t>
            </w:r>
          </w:p>
          <w:p w14:paraId="66535679">
            <w:pPr>
              <w:keepNext w:val="0"/>
              <w:keepLines w:val="0"/>
              <w:pageBreakBefore w:val="0"/>
              <w:widowControl w:val="0"/>
              <w:kinsoku/>
              <w:wordWrap w:val="0"/>
              <w:topLinePunct w:val="0"/>
              <w:autoSpaceDE/>
              <w:autoSpaceDN/>
              <w:bidi w:val="0"/>
              <w:adjustRightInd w:val="0"/>
              <w:snapToGrid w:val="0"/>
              <w:ind w:firstLine="506" w:firstLineChars="200"/>
              <w:jc w:val="both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color w:val="auto"/>
                <w:spacing w:val="6"/>
                <w:szCs w:val="28"/>
                <w:lang w:val="en-US" w:eastAsia="zh-CN"/>
              </w:rPr>
              <w:t>方向二：青春聚能・商街焕活</w:t>
            </w:r>
            <w:r>
              <w:rPr>
                <w:rFonts w:hint="eastAsia" w:eastAsia="仿宋_GB2312" w:cs="Times New Roman"/>
                <w:b/>
                <w:bCs w:val="0"/>
                <w:color w:val="auto"/>
                <w:spacing w:val="6"/>
                <w:szCs w:val="28"/>
                <w:lang w:val="en-US" w:eastAsia="zh-CN"/>
              </w:rPr>
              <w:t>：</w:t>
            </w:r>
            <w:r>
              <w:rPr>
                <w:rFonts w:hint="default" w:ascii="Times New Roman" w:hAnsi="Times New Roman" w:eastAsia="仿宋_GB2312" w:cs="Times New Roman"/>
                <w:b/>
                <w:bCs w:val="0"/>
                <w:color w:val="auto"/>
                <w:spacing w:val="6"/>
                <w:szCs w:val="28"/>
                <w:lang w:val="en-US" w:eastAsia="zh-CN"/>
              </w:rPr>
              <w:t>青年人才活力街区构建与“青春经济”生态调研</w:t>
            </w:r>
            <w:r>
              <w:rPr>
                <w:rFonts w:hint="default" w:ascii="Times New Roman" w:hAnsi="Times New Roman" w:eastAsia="仿宋_GB2312" w:cs="Times New Roman"/>
                <w:b/>
                <w:bCs w:val="0"/>
                <w:color w:val="auto"/>
                <w:spacing w:val="6"/>
                <w:szCs w:val="28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b/>
                <w:bCs w:val="0"/>
                <w:color w:val="auto"/>
                <w:spacing w:val="6"/>
                <w:szCs w:val="28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选题定位： 聚焦辖区南中轴国际文化科技园、京东MALL等商业矩阵与青年发展需求，通过深度市场调研与数据分析，精准画像在地青年社群。探讨如何通过消费新场景打造、青年夜校、创客市集等非标准商业形态培育“青春经济”，设计一套能切实提升青年归属感、激发商圈活力的街区活动方案或青年服务配套体系，吸引更多青年人才扎根南中轴</w:t>
            </w: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和大红门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。</w:t>
            </w:r>
          </w:p>
          <w:p w14:paraId="19C552CD">
            <w:pPr>
              <w:keepNext w:val="0"/>
              <w:keepLines w:val="0"/>
              <w:pageBreakBefore w:val="0"/>
              <w:widowControl w:val="0"/>
              <w:kinsoku/>
              <w:wordWrap w:val="0"/>
              <w:topLinePunct w:val="0"/>
              <w:autoSpaceDE/>
              <w:autoSpaceDN/>
              <w:bidi w:val="0"/>
              <w:adjustRightInd w:val="0"/>
              <w:snapToGrid w:val="0"/>
              <w:ind w:left="480" w:leftChars="200" w:firstLine="0" w:firstLineChars="0"/>
              <w:jc w:val="both"/>
              <w:rPr>
                <w:rFonts w:hint="default" w:ascii="Times New Roman" w:hAnsi="Times New Roman" w:eastAsia="仿宋_GB2312" w:cs="Times New Roman"/>
                <w:b/>
                <w:bCs w:val="0"/>
                <w:color w:val="auto"/>
                <w:spacing w:val="6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color w:val="auto"/>
                <w:spacing w:val="6"/>
                <w:szCs w:val="28"/>
                <w:lang w:val="en-US" w:eastAsia="zh-CN"/>
              </w:rPr>
              <w:t>方向三：党建领航・伙伴共治</w:t>
            </w:r>
            <w:r>
              <w:rPr>
                <w:rFonts w:hint="eastAsia" w:eastAsia="仿宋_GB2312" w:cs="Times New Roman"/>
                <w:b/>
                <w:bCs w:val="0"/>
                <w:color w:val="auto"/>
                <w:spacing w:val="6"/>
                <w:szCs w:val="28"/>
                <w:lang w:val="en-US" w:eastAsia="zh-CN"/>
              </w:rPr>
              <w:t>：</w:t>
            </w:r>
            <w:r>
              <w:rPr>
                <w:rFonts w:hint="default" w:ascii="Times New Roman" w:hAnsi="Times New Roman" w:eastAsia="仿宋_GB2312" w:cs="Times New Roman"/>
                <w:b/>
                <w:bCs w:val="0"/>
                <w:color w:val="auto"/>
                <w:spacing w:val="6"/>
                <w:szCs w:val="28"/>
                <w:lang w:val="en-US" w:eastAsia="zh-CN"/>
              </w:rPr>
              <w:t>党建引领“合伙人”共建共</w:t>
            </w:r>
          </w:p>
          <w:p w14:paraId="6C99BC62">
            <w:pPr>
              <w:keepNext w:val="0"/>
              <w:keepLines w:val="0"/>
              <w:pageBreakBefore w:val="0"/>
              <w:widowControl w:val="0"/>
              <w:kinsoku/>
              <w:wordWrap w:val="0"/>
              <w:topLinePunct w:val="0"/>
              <w:autoSpaceDE/>
              <w:autoSpaceDN/>
              <w:bidi w:val="0"/>
              <w:adjustRightInd w:val="0"/>
              <w:snapToGrid w:val="0"/>
              <w:jc w:val="both"/>
              <w:rPr>
                <w:rFonts w:hint="default" w:ascii="Times New Roman" w:hAnsi="Times New Roman" w:eastAsia="仿宋_GB2312" w:cs="Times New Roman"/>
                <w:b/>
                <w:bCs w:val="0"/>
                <w:color w:val="auto"/>
                <w:spacing w:val="6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color w:val="auto"/>
                <w:spacing w:val="6"/>
                <w:szCs w:val="28"/>
                <w:lang w:val="en-US" w:eastAsia="zh-CN"/>
              </w:rPr>
              <w:t>治共享机制研究</w:t>
            </w:r>
          </w:p>
          <w:p w14:paraId="611919B3">
            <w:pPr>
              <w:keepNext w:val="0"/>
              <w:keepLines w:val="0"/>
              <w:pageBreakBefore w:val="0"/>
              <w:widowControl w:val="0"/>
              <w:kinsoku/>
              <w:wordWrap w:val="0"/>
              <w:topLinePunct w:val="0"/>
              <w:autoSpaceDE/>
              <w:autoSpaceDN/>
              <w:bidi w:val="0"/>
              <w:adjustRightInd w:val="0"/>
              <w:snapToGrid w:val="0"/>
              <w:ind w:firstLine="504" w:firstLineChars="200"/>
              <w:jc w:val="both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选题定位： 以街道党建工作协调委员会30家成员单位为样本，重点破解辖区体育、教育、科技</w:t>
            </w:r>
            <w:r>
              <w:rPr>
                <w:rFonts w:hint="eastAsia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、商业、物业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企业参与社区治理动力不足、合作项目不实</w:t>
            </w:r>
            <w:r>
              <w:rPr>
                <w:rFonts w:hint="eastAsia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、资源联动不畅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等痛点。通过案例研究，设计一套“项目清单化、清单责任化”的常态化互联机制，探索如何将成员单位专业优势（如体育知识与教育融合互促；体育科学健身指导、科技园区数字应用）转化为社区居民获得感的具体</w:t>
            </w:r>
            <w:r>
              <w:rPr>
                <w:rFonts w:hint="eastAsia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实操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路径，构建互联互通、做实做细、共建共享的基层治理新格局。</w:t>
            </w:r>
          </w:p>
          <w:p w14:paraId="4B8F2C54">
            <w:pPr>
              <w:keepNext w:val="0"/>
              <w:keepLines w:val="0"/>
              <w:pageBreakBefore w:val="0"/>
              <w:widowControl w:val="0"/>
              <w:kinsoku/>
              <w:wordWrap w:val="0"/>
              <w:topLinePunct w:val="0"/>
              <w:autoSpaceDE/>
              <w:autoSpaceDN/>
              <w:bidi w:val="0"/>
              <w:adjustRightInd w:val="0"/>
              <w:snapToGrid w:val="0"/>
              <w:ind w:firstLine="504" w:firstLineChars="200"/>
              <w:jc w:val="both"/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</w:pPr>
          </w:p>
        </w:tc>
      </w:tr>
      <w:tr w14:paraId="2677CD2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236" w:hRule="atLeast"/>
          <w:jc w:val="center"/>
        </w:trPr>
        <w:tc>
          <w:tcPr>
            <w:tcW w:w="1887" w:type="dxa"/>
            <w:tcBorders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30A950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最终成果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要求</w:t>
            </w:r>
          </w:p>
        </w:tc>
        <w:tc>
          <w:tcPr>
            <w:tcW w:w="6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3AD6918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504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实践团队需在暑假结束之前，根据所选子方向提交以下高质量成果：</w:t>
            </w:r>
          </w:p>
          <w:p w14:paraId="1518CA7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504" w:firstLineChars="200"/>
              <w:jc w:val="both"/>
              <w:textAlignment w:val="auto"/>
              <w:rPr>
                <w:rFonts w:hint="eastAsia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方向一：《大红门街道文化IP策划与城市景观设计方案》：包含文化IP主视觉、应用场景效果图及配套艺术装置/口袋公园施工概念图</w:t>
            </w:r>
            <w:r>
              <w:rPr>
                <w:rFonts w:hint="eastAsia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，点位布局图、落地实施建议，完整呈现文化内涵与美学表达。</w:t>
            </w:r>
          </w:p>
          <w:p w14:paraId="4D6D0E9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504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方向二：《大红门“青春经济”调研报告与青年活力街区活动策划案》：包含青年需求调研数据分析、消费行为画像及街区特色品牌活动策划流程</w:t>
            </w:r>
            <w:r>
              <w:rPr>
                <w:rFonts w:hint="eastAsia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、落地保障措施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。</w:t>
            </w:r>
          </w:p>
          <w:p w14:paraId="3722196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50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方向三：《</w:t>
            </w:r>
            <w:r>
              <w:rPr>
                <w:rFonts w:hint="eastAsia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大红门街道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党建</w:t>
            </w:r>
            <w:r>
              <w:rPr>
                <w:rFonts w:hint="eastAsia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工作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协调委员会机制创新与案例研究报告》：选取至少3家典型成员单位进行深度剖析，并</w:t>
            </w:r>
            <w:r>
              <w:rPr>
                <w:rFonts w:hint="eastAsia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有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pacing w:val="6"/>
                <w:szCs w:val="28"/>
                <w:lang w:val="en-US" w:eastAsia="zh-CN"/>
              </w:rPr>
              <w:t>深度调研分析、共建痛点梳理、机制创新方案、标准化项目清单执行模板、长效运营细则。</w:t>
            </w:r>
          </w:p>
        </w:tc>
      </w:tr>
    </w:tbl>
    <w:p w14:paraId="193A91AF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三、激励保障</w:t>
      </w:r>
    </w:p>
    <w:tbl>
      <w:tblPr>
        <w:tblStyle w:val="5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15"/>
        <w:gridCol w:w="6689"/>
      </w:tblGrid>
      <w:tr w14:paraId="5518526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5550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bookmarkStart w:id="0" w:name="OLE_LINK2"/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资源支持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EBAAE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topLinePunct w:val="0"/>
              <w:autoSpaceDE/>
              <w:autoSpaceDN/>
              <w:bidi w:val="0"/>
              <w:adjustRightInd w:val="0"/>
              <w:snapToGrid w:val="0"/>
              <w:ind w:firstLine="504" w:firstLineChars="2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pacing w:val="6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pacing w:val="6"/>
                <w:szCs w:val="28"/>
                <w:highlight w:val="none"/>
                <w:lang w:val="en-US" w:eastAsia="zh-CN"/>
              </w:rPr>
              <w:t>1. 场景与实践保障：指定专人作为参赛团队专属联络人，与参赛团队保持常态化沟通，可为参赛团队提供指导帮助，如商业综合应用场景、实践调研、配备专门指导人员等。（开放大红门街道政务服务大厅、南中轴国际文化科技园、辖区大型商业综合体（京东MALL、集美家居市场、合生广场等）作为深度调研场景，协调丰台区外国语学校教育集团等党建协调单位提供专业支持。）</w:t>
            </w:r>
          </w:p>
          <w:p w14:paraId="649323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topLinePunct w:val="0"/>
              <w:autoSpaceDE/>
              <w:autoSpaceDN/>
              <w:bidi w:val="0"/>
              <w:adjustRightInd w:val="0"/>
              <w:snapToGrid w:val="0"/>
              <w:ind w:firstLine="504" w:firstLineChars="200"/>
              <w:jc w:val="both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pacing w:val="6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pacing w:val="6"/>
                <w:szCs w:val="28"/>
                <w:highlight w:val="none"/>
                <w:lang w:val="en-US" w:eastAsia="zh-CN"/>
              </w:rPr>
              <w:t>2.基础保障：的为实践团队提供必要场地支持、就餐支持。</w:t>
            </w:r>
          </w:p>
          <w:p w14:paraId="1CA963FB">
            <w:pPr>
              <w:keepNext w:val="0"/>
              <w:keepLines w:val="0"/>
              <w:pageBreakBefore w:val="0"/>
              <w:widowControl w:val="0"/>
              <w:kinsoku/>
              <w:wordWrap w:val="0"/>
              <w:topLinePunct w:val="0"/>
              <w:autoSpaceDE/>
              <w:autoSpaceDN/>
              <w:bidi w:val="0"/>
              <w:adjustRightInd w:val="0"/>
              <w:snapToGrid w:val="0"/>
              <w:ind w:firstLine="504" w:firstLineChars="2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pacing w:val="6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pacing w:val="6"/>
                <w:szCs w:val="28"/>
                <w:highlight w:val="none"/>
                <w:lang w:val="en-US" w:eastAsia="zh-CN"/>
              </w:rPr>
              <w:t>3.发展激励：优秀团队成员可优先获得大红门街道辖区内的实习推荐岗位、就业岗位推荐，并享有南中轴国际文化科技园入驻企业参访交流机会。</w:t>
            </w:r>
          </w:p>
          <w:p w14:paraId="41BB8DFA">
            <w:pPr>
              <w:keepNext w:val="0"/>
              <w:keepLines w:val="0"/>
              <w:pageBreakBefore w:val="0"/>
              <w:widowControl w:val="0"/>
              <w:kinsoku/>
              <w:wordWrap w:val="0"/>
              <w:topLinePunct w:val="0"/>
              <w:autoSpaceDE/>
              <w:autoSpaceDN/>
              <w:bidi w:val="0"/>
              <w:adjustRightInd w:val="0"/>
              <w:snapToGrid w:val="0"/>
              <w:ind w:firstLine="504" w:firstLineChars="20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pacing w:val="6"/>
                <w:szCs w:val="28"/>
                <w:highlight w:val="none"/>
                <w:lang w:val="en-US" w:eastAsia="zh-CN"/>
              </w:rPr>
              <w:t>4. 成果转化：优秀文化设计作品、活动方案、共治机制将有机会在大红门街道官方公众号发布推广，并在后续城市更新中吸纳优秀方案元素，真正实现成果落地应用。</w:t>
            </w:r>
          </w:p>
        </w:tc>
      </w:tr>
      <w:bookmarkEnd w:id="0"/>
    </w:tbl>
    <w:p w14:paraId="22DF8478">
      <w:pPr>
        <w:tabs>
          <w:tab w:val="left" w:pos="8640"/>
        </w:tabs>
        <w:adjustRightInd w:val="0"/>
        <w:snapToGrid w:val="0"/>
        <w:spacing w:line="560" w:lineRule="exact"/>
        <w:rPr>
          <w:rFonts w:hint="default" w:ascii="黑体" w:hAnsi="黑体" w:eastAsia="黑体" w:cs="黑体"/>
          <w:bCs/>
          <w:spacing w:val="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 w:eastAsia="zh-CN"/>
        </w:rPr>
        <w:t>四、提交方式</w:t>
      </w:r>
    </w:p>
    <w:tbl>
      <w:tblPr>
        <w:tblStyle w:val="5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15"/>
        <w:gridCol w:w="6689"/>
      </w:tblGrid>
      <w:tr w14:paraId="3F8697C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E9D8E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提交时间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8A759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5月27日前，提交符合榜单要求的实践方案</w:t>
            </w:r>
          </w:p>
          <w:p w14:paraId="11B3CD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注：此实践方案为遴选挂帅团队的重要材料</w:t>
            </w:r>
          </w:p>
        </w:tc>
      </w:tr>
      <w:tr w14:paraId="7A29E1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04AA1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提交邮箱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AF324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chenxiao@cueb.edu.cn</w:t>
            </w:r>
          </w:p>
        </w:tc>
      </w:tr>
    </w:tbl>
    <w:p w14:paraId="4DAB5188">
      <w:pPr>
        <w:tabs>
          <w:tab w:val="left" w:pos="8640"/>
        </w:tabs>
        <w:adjustRightInd w:val="0"/>
        <w:snapToGrid w:val="0"/>
        <w:spacing w:line="560" w:lineRule="exact"/>
        <w:rPr>
          <w:rFonts w:hint="default" w:ascii="方正楷体简体" w:hAnsi="方正楷体简体" w:eastAsia="方正楷体简体" w:cs="方正楷体简体"/>
          <w:lang w:val="en-US" w:eastAsia="zh-CN"/>
        </w:rPr>
      </w:pPr>
    </w:p>
    <w:sectPr>
      <w:footerReference r:id="rId3" w:type="default"/>
      <w:pgSz w:w="11906" w:h="16838"/>
      <w:pgMar w:top="1587" w:right="1474" w:bottom="147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9C2F547-17DC-4BEA-BFEF-194BE0B4AE5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  <w:embedRegular r:id="rId2" w:fontKey="{DFED9612-CF96-48B9-85AC-5DE1C0922A2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DD97E9E7-4CE1-42C9-A13A-32DE06983022}"/>
  </w:font>
  <w:font w:name="方正楷体简体">
    <w:altName w:val="宋体"/>
    <w:panose1 w:val="02000000000000000000"/>
    <w:charset w:val="86"/>
    <w:family w:val="auto"/>
    <w:pitch w:val="default"/>
    <w:sig w:usb0="00000000" w:usb1="00000000" w:usb2="00000000" w:usb3="00000000" w:csb0="00000000" w:csb1="00000000"/>
    <w:embedRegular r:id="rId4" w:fontKey="{7BB9B43C-414C-45B0-B4FE-08AC5B09ACC5}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75651566"/>
    </w:sdtPr>
    <w:sdtContent>
      <w:p w14:paraId="5FE0F235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04D25D67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kZTM5OTU0MmM2OTY1OWU4NzEyZWIyODMyNTc1ZTUifQ=="/>
  </w:docVars>
  <w:rsids>
    <w:rsidRoot w:val="008769EE"/>
    <w:rsid w:val="000024AF"/>
    <w:rsid w:val="00005D1C"/>
    <w:rsid w:val="00016504"/>
    <w:rsid w:val="00021C1D"/>
    <w:rsid w:val="000420F1"/>
    <w:rsid w:val="00057714"/>
    <w:rsid w:val="000579E3"/>
    <w:rsid w:val="000626B0"/>
    <w:rsid w:val="00075C5A"/>
    <w:rsid w:val="000A6775"/>
    <w:rsid w:val="000B59FE"/>
    <w:rsid w:val="000D5792"/>
    <w:rsid w:val="000D57EF"/>
    <w:rsid w:val="000D5CE7"/>
    <w:rsid w:val="0010322A"/>
    <w:rsid w:val="0011069F"/>
    <w:rsid w:val="00115043"/>
    <w:rsid w:val="00120156"/>
    <w:rsid w:val="001360CE"/>
    <w:rsid w:val="001367A9"/>
    <w:rsid w:val="00142352"/>
    <w:rsid w:val="00143054"/>
    <w:rsid w:val="001579F2"/>
    <w:rsid w:val="00164C26"/>
    <w:rsid w:val="0016564C"/>
    <w:rsid w:val="00172BF5"/>
    <w:rsid w:val="00175648"/>
    <w:rsid w:val="001A0246"/>
    <w:rsid w:val="001A6D11"/>
    <w:rsid w:val="001B0D74"/>
    <w:rsid w:val="001B2C6C"/>
    <w:rsid w:val="001C0DFA"/>
    <w:rsid w:val="001D0729"/>
    <w:rsid w:val="001D4806"/>
    <w:rsid w:val="001E741B"/>
    <w:rsid w:val="001E760D"/>
    <w:rsid w:val="001E77C2"/>
    <w:rsid w:val="001F5AC3"/>
    <w:rsid w:val="001F6CC8"/>
    <w:rsid w:val="0020086A"/>
    <w:rsid w:val="00217A97"/>
    <w:rsid w:val="0022027A"/>
    <w:rsid w:val="00236E3E"/>
    <w:rsid w:val="0026569C"/>
    <w:rsid w:val="00277A57"/>
    <w:rsid w:val="00281AE9"/>
    <w:rsid w:val="00283877"/>
    <w:rsid w:val="002923C5"/>
    <w:rsid w:val="002938E3"/>
    <w:rsid w:val="002B0D40"/>
    <w:rsid w:val="002D1753"/>
    <w:rsid w:val="002D6FA5"/>
    <w:rsid w:val="002E7BFD"/>
    <w:rsid w:val="002F7D9C"/>
    <w:rsid w:val="00341051"/>
    <w:rsid w:val="00343B96"/>
    <w:rsid w:val="00354FAF"/>
    <w:rsid w:val="00363E2D"/>
    <w:rsid w:val="003701CF"/>
    <w:rsid w:val="00371816"/>
    <w:rsid w:val="003845ED"/>
    <w:rsid w:val="00392185"/>
    <w:rsid w:val="0039481F"/>
    <w:rsid w:val="003A2D89"/>
    <w:rsid w:val="003B6C68"/>
    <w:rsid w:val="003E007F"/>
    <w:rsid w:val="00455A1D"/>
    <w:rsid w:val="00463782"/>
    <w:rsid w:val="00476A7D"/>
    <w:rsid w:val="004876C3"/>
    <w:rsid w:val="00494F44"/>
    <w:rsid w:val="00496D3E"/>
    <w:rsid w:val="004A0A91"/>
    <w:rsid w:val="004A4E02"/>
    <w:rsid w:val="004B00B4"/>
    <w:rsid w:val="004B01E5"/>
    <w:rsid w:val="004D0FC5"/>
    <w:rsid w:val="004D7510"/>
    <w:rsid w:val="004E551C"/>
    <w:rsid w:val="004F3DC9"/>
    <w:rsid w:val="00521EB2"/>
    <w:rsid w:val="005269C8"/>
    <w:rsid w:val="00532B4E"/>
    <w:rsid w:val="005333BA"/>
    <w:rsid w:val="0053363C"/>
    <w:rsid w:val="00550A20"/>
    <w:rsid w:val="00564E32"/>
    <w:rsid w:val="00574E86"/>
    <w:rsid w:val="005753FB"/>
    <w:rsid w:val="00577641"/>
    <w:rsid w:val="00580524"/>
    <w:rsid w:val="00585CAC"/>
    <w:rsid w:val="005944CA"/>
    <w:rsid w:val="005A1DB0"/>
    <w:rsid w:val="005C1A80"/>
    <w:rsid w:val="005C1AAC"/>
    <w:rsid w:val="005C6ACD"/>
    <w:rsid w:val="005D33E1"/>
    <w:rsid w:val="005D5D40"/>
    <w:rsid w:val="00603AF5"/>
    <w:rsid w:val="00606DA8"/>
    <w:rsid w:val="00613169"/>
    <w:rsid w:val="00613AAA"/>
    <w:rsid w:val="006226BA"/>
    <w:rsid w:val="00624B5C"/>
    <w:rsid w:val="00633F6B"/>
    <w:rsid w:val="00636F96"/>
    <w:rsid w:val="00646247"/>
    <w:rsid w:val="0066226D"/>
    <w:rsid w:val="00662D41"/>
    <w:rsid w:val="00663468"/>
    <w:rsid w:val="00693B33"/>
    <w:rsid w:val="00696378"/>
    <w:rsid w:val="006A3A6E"/>
    <w:rsid w:val="006A51DF"/>
    <w:rsid w:val="006C3959"/>
    <w:rsid w:val="006C732F"/>
    <w:rsid w:val="006D5E75"/>
    <w:rsid w:val="006E6DDA"/>
    <w:rsid w:val="006F10F0"/>
    <w:rsid w:val="00704B08"/>
    <w:rsid w:val="007168CF"/>
    <w:rsid w:val="007216F0"/>
    <w:rsid w:val="00724EAF"/>
    <w:rsid w:val="0073249A"/>
    <w:rsid w:val="00746651"/>
    <w:rsid w:val="0074676F"/>
    <w:rsid w:val="0075096A"/>
    <w:rsid w:val="00751811"/>
    <w:rsid w:val="00753ECA"/>
    <w:rsid w:val="007711FB"/>
    <w:rsid w:val="00777C79"/>
    <w:rsid w:val="00792BCA"/>
    <w:rsid w:val="007934F8"/>
    <w:rsid w:val="00801614"/>
    <w:rsid w:val="00805D49"/>
    <w:rsid w:val="00816F55"/>
    <w:rsid w:val="00825DE6"/>
    <w:rsid w:val="00825FD8"/>
    <w:rsid w:val="008313DD"/>
    <w:rsid w:val="008321B0"/>
    <w:rsid w:val="00846294"/>
    <w:rsid w:val="0085042E"/>
    <w:rsid w:val="00851D22"/>
    <w:rsid w:val="0086052B"/>
    <w:rsid w:val="00860FD3"/>
    <w:rsid w:val="008669B5"/>
    <w:rsid w:val="00867EEA"/>
    <w:rsid w:val="00872C0C"/>
    <w:rsid w:val="008738D4"/>
    <w:rsid w:val="008769EE"/>
    <w:rsid w:val="0088143A"/>
    <w:rsid w:val="008836AC"/>
    <w:rsid w:val="00887D7E"/>
    <w:rsid w:val="0089086B"/>
    <w:rsid w:val="008A16EE"/>
    <w:rsid w:val="008B748E"/>
    <w:rsid w:val="008C4B94"/>
    <w:rsid w:val="008D1E8D"/>
    <w:rsid w:val="008E3EE3"/>
    <w:rsid w:val="008F2FB1"/>
    <w:rsid w:val="00912ADC"/>
    <w:rsid w:val="00917F07"/>
    <w:rsid w:val="00923192"/>
    <w:rsid w:val="00931DCA"/>
    <w:rsid w:val="00932E54"/>
    <w:rsid w:val="0093518D"/>
    <w:rsid w:val="00937CB6"/>
    <w:rsid w:val="00953BA4"/>
    <w:rsid w:val="00954857"/>
    <w:rsid w:val="009632E8"/>
    <w:rsid w:val="00966187"/>
    <w:rsid w:val="009722F8"/>
    <w:rsid w:val="00984CEA"/>
    <w:rsid w:val="00987542"/>
    <w:rsid w:val="00995541"/>
    <w:rsid w:val="009E7C56"/>
    <w:rsid w:val="00A02213"/>
    <w:rsid w:val="00A0235C"/>
    <w:rsid w:val="00A21117"/>
    <w:rsid w:val="00A22759"/>
    <w:rsid w:val="00A2670B"/>
    <w:rsid w:val="00A30D68"/>
    <w:rsid w:val="00A4232F"/>
    <w:rsid w:val="00A43480"/>
    <w:rsid w:val="00A46FCF"/>
    <w:rsid w:val="00A601D5"/>
    <w:rsid w:val="00A75F29"/>
    <w:rsid w:val="00AA45FC"/>
    <w:rsid w:val="00AA7BD8"/>
    <w:rsid w:val="00AB1BF4"/>
    <w:rsid w:val="00AB47FD"/>
    <w:rsid w:val="00AC7734"/>
    <w:rsid w:val="00AD24CF"/>
    <w:rsid w:val="00AD6CFA"/>
    <w:rsid w:val="00AE66B7"/>
    <w:rsid w:val="00B37F1A"/>
    <w:rsid w:val="00B40CAF"/>
    <w:rsid w:val="00B46BCA"/>
    <w:rsid w:val="00B52CCC"/>
    <w:rsid w:val="00B66E73"/>
    <w:rsid w:val="00B67EB8"/>
    <w:rsid w:val="00B7486E"/>
    <w:rsid w:val="00B96E4E"/>
    <w:rsid w:val="00BA70BA"/>
    <w:rsid w:val="00BA7D67"/>
    <w:rsid w:val="00BD0A75"/>
    <w:rsid w:val="00BE634B"/>
    <w:rsid w:val="00BF4E2D"/>
    <w:rsid w:val="00C217F1"/>
    <w:rsid w:val="00C24C93"/>
    <w:rsid w:val="00C57018"/>
    <w:rsid w:val="00C60328"/>
    <w:rsid w:val="00C678B8"/>
    <w:rsid w:val="00C720F3"/>
    <w:rsid w:val="00C82B11"/>
    <w:rsid w:val="00C94172"/>
    <w:rsid w:val="00C97BA0"/>
    <w:rsid w:val="00CA19F5"/>
    <w:rsid w:val="00CB5FAC"/>
    <w:rsid w:val="00CB6FC8"/>
    <w:rsid w:val="00CC608E"/>
    <w:rsid w:val="00CD6EE9"/>
    <w:rsid w:val="00D05DE3"/>
    <w:rsid w:val="00D23696"/>
    <w:rsid w:val="00D41F2A"/>
    <w:rsid w:val="00D474E2"/>
    <w:rsid w:val="00D47E2B"/>
    <w:rsid w:val="00D531BB"/>
    <w:rsid w:val="00D55D40"/>
    <w:rsid w:val="00D71164"/>
    <w:rsid w:val="00D8092B"/>
    <w:rsid w:val="00D826F5"/>
    <w:rsid w:val="00D920B0"/>
    <w:rsid w:val="00DB02D9"/>
    <w:rsid w:val="00DB05D8"/>
    <w:rsid w:val="00DB59F1"/>
    <w:rsid w:val="00DD4992"/>
    <w:rsid w:val="00DE5602"/>
    <w:rsid w:val="00DF09AA"/>
    <w:rsid w:val="00DF64DF"/>
    <w:rsid w:val="00DF78E0"/>
    <w:rsid w:val="00E01DD4"/>
    <w:rsid w:val="00E02303"/>
    <w:rsid w:val="00E1302F"/>
    <w:rsid w:val="00E13134"/>
    <w:rsid w:val="00E30024"/>
    <w:rsid w:val="00E46C70"/>
    <w:rsid w:val="00E47733"/>
    <w:rsid w:val="00E5011B"/>
    <w:rsid w:val="00E524CD"/>
    <w:rsid w:val="00E65FC6"/>
    <w:rsid w:val="00E7048E"/>
    <w:rsid w:val="00E72C07"/>
    <w:rsid w:val="00EA0B44"/>
    <w:rsid w:val="00EB1E9B"/>
    <w:rsid w:val="00EB2BDB"/>
    <w:rsid w:val="00EB4B20"/>
    <w:rsid w:val="00EB66C3"/>
    <w:rsid w:val="00EC44BC"/>
    <w:rsid w:val="00ED65A9"/>
    <w:rsid w:val="00ED683E"/>
    <w:rsid w:val="00EF3C50"/>
    <w:rsid w:val="00EF5210"/>
    <w:rsid w:val="00F10C18"/>
    <w:rsid w:val="00F256C4"/>
    <w:rsid w:val="00F26931"/>
    <w:rsid w:val="00F57CAE"/>
    <w:rsid w:val="00F669A4"/>
    <w:rsid w:val="00F713C4"/>
    <w:rsid w:val="00F73E78"/>
    <w:rsid w:val="00F74A1C"/>
    <w:rsid w:val="00F75202"/>
    <w:rsid w:val="00F855BA"/>
    <w:rsid w:val="00F86CD9"/>
    <w:rsid w:val="00F910DA"/>
    <w:rsid w:val="00FB4A99"/>
    <w:rsid w:val="00FC2914"/>
    <w:rsid w:val="00FF5C3F"/>
    <w:rsid w:val="011D4668"/>
    <w:rsid w:val="03803D68"/>
    <w:rsid w:val="040E5D41"/>
    <w:rsid w:val="04816A57"/>
    <w:rsid w:val="051528EC"/>
    <w:rsid w:val="05C978FD"/>
    <w:rsid w:val="0671705A"/>
    <w:rsid w:val="06732134"/>
    <w:rsid w:val="06B96375"/>
    <w:rsid w:val="07463F1D"/>
    <w:rsid w:val="078F2493"/>
    <w:rsid w:val="081C183D"/>
    <w:rsid w:val="0A8F7AAE"/>
    <w:rsid w:val="0B4A5469"/>
    <w:rsid w:val="0B6B3F04"/>
    <w:rsid w:val="0B6F69F0"/>
    <w:rsid w:val="0C645CC6"/>
    <w:rsid w:val="0C955B7E"/>
    <w:rsid w:val="0DCF4D92"/>
    <w:rsid w:val="0F78357E"/>
    <w:rsid w:val="107F47F9"/>
    <w:rsid w:val="10DB3A4D"/>
    <w:rsid w:val="12E36BE9"/>
    <w:rsid w:val="13CA2B4E"/>
    <w:rsid w:val="15D942D4"/>
    <w:rsid w:val="189A4AC9"/>
    <w:rsid w:val="195A59BF"/>
    <w:rsid w:val="19AC3911"/>
    <w:rsid w:val="1A1667EC"/>
    <w:rsid w:val="1A9F551B"/>
    <w:rsid w:val="1AD27C6F"/>
    <w:rsid w:val="1C307CA7"/>
    <w:rsid w:val="1D09144A"/>
    <w:rsid w:val="1D431C97"/>
    <w:rsid w:val="1DA10BA9"/>
    <w:rsid w:val="1E504BF2"/>
    <w:rsid w:val="1F4F4772"/>
    <w:rsid w:val="1F762BAF"/>
    <w:rsid w:val="20375FAB"/>
    <w:rsid w:val="20672782"/>
    <w:rsid w:val="219E3794"/>
    <w:rsid w:val="22463DDE"/>
    <w:rsid w:val="23991047"/>
    <w:rsid w:val="23B107E7"/>
    <w:rsid w:val="23B940CE"/>
    <w:rsid w:val="242F1397"/>
    <w:rsid w:val="2604714B"/>
    <w:rsid w:val="26680B0E"/>
    <w:rsid w:val="276607BD"/>
    <w:rsid w:val="2A85768A"/>
    <w:rsid w:val="2BC2788C"/>
    <w:rsid w:val="2D5072C9"/>
    <w:rsid w:val="2ED43E1F"/>
    <w:rsid w:val="2EF61F5F"/>
    <w:rsid w:val="2F204D2F"/>
    <w:rsid w:val="30280776"/>
    <w:rsid w:val="30D8752B"/>
    <w:rsid w:val="33020A40"/>
    <w:rsid w:val="347270AC"/>
    <w:rsid w:val="359C73A0"/>
    <w:rsid w:val="36160F00"/>
    <w:rsid w:val="397B56DC"/>
    <w:rsid w:val="3A5A5133"/>
    <w:rsid w:val="3BC02155"/>
    <w:rsid w:val="3BF7E6BF"/>
    <w:rsid w:val="3C4538F8"/>
    <w:rsid w:val="3CD975B2"/>
    <w:rsid w:val="3D7D1865"/>
    <w:rsid w:val="3ED27DBD"/>
    <w:rsid w:val="3FCF72B9"/>
    <w:rsid w:val="40504E9C"/>
    <w:rsid w:val="40E56A5B"/>
    <w:rsid w:val="4185378C"/>
    <w:rsid w:val="436879E0"/>
    <w:rsid w:val="45A06791"/>
    <w:rsid w:val="45AA35D4"/>
    <w:rsid w:val="47791038"/>
    <w:rsid w:val="48AC42B8"/>
    <w:rsid w:val="49ED0155"/>
    <w:rsid w:val="4B2C4731"/>
    <w:rsid w:val="4B9A1970"/>
    <w:rsid w:val="4B9A22C6"/>
    <w:rsid w:val="4D47054C"/>
    <w:rsid w:val="4E175B2C"/>
    <w:rsid w:val="4FDF2564"/>
    <w:rsid w:val="50571C9F"/>
    <w:rsid w:val="50AB003F"/>
    <w:rsid w:val="519F04A1"/>
    <w:rsid w:val="52353A0A"/>
    <w:rsid w:val="560E14B9"/>
    <w:rsid w:val="597D2244"/>
    <w:rsid w:val="5A0D30B4"/>
    <w:rsid w:val="5B090CA4"/>
    <w:rsid w:val="5B3429A4"/>
    <w:rsid w:val="5C146507"/>
    <w:rsid w:val="5C9D087A"/>
    <w:rsid w:val="5D35760E"/>
    <w:rsid w:val="5D5840D6"/>
    <w:rsid w:val="5F200A95"/>
    <w:rsid w:val="619135C2"/>
    <w:rsid w:val="62BE4F54"/>
    <w:rsid w:val="62D04AAA"/>
    <w:rsid w:val="64126E1E"/>
    <w:rsid w:val="64C611F6"/>
    <w:rsid w:val="65F77B57"/>
    <w:rsid w:val="65FF3AA9"/>
    <w:rsid w:val="660F3D1F"/>
    <w:rsid w:val="66152ACA"/>
    <w:rsid w:val="68B44D24"/>
    <w:rsid w:val="68E138EF"/>
    <w:rsid w:val="6A28076F"/>
    <w:rsid w:val="6BDF6CC4"/>
    <w:rsid w:val="6CFC2C49"/>
    <w:rsid w:val="6DB5058A"/>
    <w:rsid w:val="70905002"/>
    <w:rsid w:val="70BB7C71"/>
    <w:rsid w:val="71B400B8"/>
    <w:rsid w:val="72EF1566"/>
    <w:rsid w:val="73412F53"/>
    <w:rsid w:val="747947EB"/>
    <w:rsid w:val="748443E4"/>
    <w:rsid w:val="74F952E5"/>
    <w:rsid w:val="75483F2B"/>
    <w:rsid w:val="75A628C9"/>
    <w:rsid w:val="75B36462"/>
    <w:rsid w:val="76B27622"/>
    <w:rsid w:val="76B531CE"/>
    <w:rsid w:val="780A371A"/>
    <w:rsid w:val="784521A0"/>
    <w:rsid w:val="788D1579"/>
    <w:rsid w:val="7A3727C0"/>
    <w:rsid w:val="7A6F2A3A"/>
    <w:rsid w:val="7B824094"/>
    <w:rsid w:val="7BBB15F0"/>
    <w:rsid w:val="7C07A0F5"/>
    <w:rsid w:val="7D460711"/>
    <w:rsid w:val="7D717185"/>
    <w:rsid w:val="7D7635FF"/>
    <w:rsid w:val="7E172803"/>
    <w:rsid w:val="7E473D2F"/>
    <w:rsid w:val="7F207CC7"/>
    <w:rsid w:val="7F52447F"/>
    <w:rsid w:val="ADB3EDF9"/>
    <w:rsid w:val="B59DAF38"/>
    <w:rsid w:val="BFBAAF01"/>
    <w:rsid w:val="D6FDEFC2"/>
    <w:rsid w:val="DFDE7D33"/>
    <w:rsid w:val="FD7EF2D2"/>
    <w:rsid w:val="FDF5A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3">
    <w:name w:val="header"/>
    <w:basedOn w:val="1"/>
    <w:link w:val="11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  <w:style w:type="character" w:styleId="7">
    <w:name w:val="Strong"/>
    <w:qFormat/>
    <w:uiPriority w:val="0"/>
    <w:rPr>
      <w:b/>
      <w:bCs/>
    </w:rPr>
  </w:style>
  <w:style w:type="character" w:styleId="8">
    <w:name w:val="FollowedHyperlink"/>
    <w:basedOn w:val="6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Emphasis"/>
    <w:basedOn w:val="6"/>
    <w:qFormat/>
    <w:uiPriority w:val="20"/>
    <w:rPr>
      <w:i/>
      <w:iCs/>
    </w:rPr>
  </w:style>
  <w:style w:type="character" w:styleId="10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2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13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未处理的提及2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2202</Words>
  <Characters>2242</Characters>
  <Lines>16</Lines>
  <Paragraphs>4</Paragraphs>
  <TotalTime>368</TotalTime>
  <ScaleCrop>false</ScaleCrop>
  <LinksUpToDate>false</LinksUpToDate>
  <CharactersWithSpaces>2254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2022-12-31T13:38:00Z</dcterms:created>
  <dc:creator>张 斌</dc:creator>
  <cp:lastModifiedBy>陈晓</cp:lastModifiedBy>
  <cp:lastPrinted>2026-05-09T02:25:00Z</cp:lastPrinted>
  <dcterms:modified xsi:type="dcterms:W3CDTF">2026-05-13T12:37:14Z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395748A3EB8C4BBB9A7B0BDBD685C7F0_13</vt:lpwstr>
  </property>
  <property fmtid="{D5CDD505-2E9C-101B-9397-08002B2CF9AE}" pid="4" name="KSOTemplateDocerSaveRecord">
    <vt:lpwstr>eyJoZGlkIjoiYjgzNWYxMDViNmYzZWQxMGRhYWI3NWQ5YzZhYjNmMmEiLCJ1c2VySWQiOiI0MzMyMDI3NTMifQ==</vt:lpwstr>
  </property>
</Properties>
</file>