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9C66DF">
      <w:pPr>
        <w:tabs>
          <w:tab w:val="left" w:pos="8640"/>
        </w:tabs>
        <w:adjustRightInd w:val="0"/>
        <w:snapToGrid w:val="0"/>
        <w:spacing w:line="640" w:lineRule="exact"/>
        <w:jc w:val="center"/>
        <w:rPr>
          <w:rFonts w:ascii="方正小标宋简体" w:eastAsia="方正小标宋简体"/>
          <w:bCs/>
          <w:sz w:val="44"/>
          <w:szCs w:val="44"/>
          <w:lang w:val="en-US"/>
        </w:rPr>
      </w:pPr>
      <w:r>
        <w:rPr>
          <w:rFonts w:hint="eastAsia" w:ascii="方正小标宋简体" w:eastAsia="方正小标宋简体"/>
          <w:bCs/>
          <w:sz w:val="44"/>
          <w:szCs w:val="44"/>
        </w:rPr>
        <w:t>“揭榜挂帅”社会实践课题征集表</w:t>
      </w:r>
    </w:p>
    <w:p w14:paraId="58AD185F">
      <w:pPr>
        <w:tabs>
          <w:tab w:val="left" w:pos="8640"/>
        </w:tabs>
        <w:adjustRightInd w:val="0"/>
        <w:snapToGrid w:val="0"/>
        <w:spacing w:line="560" w:lineRule="exact"/>
        <w:rPr>
          <w:rFonts w:ascii="方正黑体简体" w:eastAsia="方正黑体简体"/>
          <w:bCs/>
          <w:spacing w:val="6"/>
          <w:sz w:val="32"/>
          <w:szCs w:val="32"/>
        </w:rPr>
      </w:pPr>
    </w:p>
    <w:p w14:paraId="3D067601">
      <w:pPr>
        <w:tabs>
          <w:tab w:val="left" w:pos="8640"/>
        </w:tabs>
        <w:adjustRightInd w:val="0"/>
        <w:snapToGrid w:val="0"/>
        <w:spacing w:line="560" w:lineRule="exact"/>
        <w:rPr>
          <w:rFonts w:hint="eastAsia" w:ascii="黑体" w:hAnsi="黑体" w:eastAsia="黑体" w:cs="黑体"/>
          <w:bCs/>
          <w:spacing w:val="6"/>
          <w:sz w:val="32"/>
          <w:szCs w:val="32"/>
        </w:rPr>
      </w:pPr>
      <w:r>
        <w:rPr>
          <w:rFonts w:hint="eastAsia" w:ascii="黑体" w:hAnsi="黑体" w:eastAsia="黑体" w:cs="黑体"/>
          <w:bCs/>
          <w:spacing w:val="6"/>
          <w:sz w:val="32"/>
          <w:szCs w:val="32"/>
        </w:rPr>
        <w:t>一、</w:t>
      </w:r>
      <w:r>
        <w:rPr>
          <w:rFonts w:hint="eastAsia" w:ascii="黑体" w:hAnsi="黑体" w:eastAsia="黑体" w:cs="黑体"/>
          <w:bCs/>
          <w:spacing w:val="6"/>
          <w:sz w:val="32"/>
          <w:szCs w:val="32"/>
          <w:lang w:val="en-US" w:eastAsia="zh-CN"/>
        </w:rPr>
        <w:t>出题方</w:t>
      </w:r>
      <w:r>
        <w:rPr>
          <w:rFonts w:hint="eastAsia" w:ascii="黑体" w:hAnsi="黑体" w:eastAsia="黑体" w:cs="黑体"/>
          <w:bCs/>
          <w:spacing w:val="6"/>
          <w:sz w:val="32"/>
          <w:szCs w:val="32"/>
        </w:rPr>
        <w:t>信息</w:t>
      </w:r>
    </w:p>
    <w:tbl>
      <w:tblPr>
        <w:tblStyle w:val="5"/>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3076"/>
        <w:gridCol w:w="1073"/>
        <w:gridCol w:w="2783"/>
      </w:tblGrid>
      <w:tr w14:paraId="1ECDE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88" w:hRule="atLeast"/>
          <w:jc w:val="center"/>
        </w:trPr>
        <w:tc>
          <w:tcPr>
            <w:tcW w:w="1668" w:type="dxa"/>
            <w:vAlign w:val="center"/>
          </w:tcPr>
          <w:p w14:paraId="06559799">
            <w:pPr>
              <w:keepNext w:val="0"/>
              <w:keepLines w:val="0"/>
              <w:pageBreakBefore w:val="0"/>
              <w:widowControl/>
              <w:kinsoku/>
              <w:wordWrap/>
              <w:overflowPunct/>
              <w:topLinePunct w:val="0"/>
              <w:autoSpaceDE/>
              <w:autoSpaceDN/>
              <w:bidi w:val="0"/>
              <w:adjustRightInd w:val="0"/>
              <w:snapToGrid/>
              <w:spacing w:line="40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单位</w:t>
            </w:r>
            <w:r>
              <w:rPr>
                <w:rFonts w:hint="eastAsia" w:ascii="仿宋_GB2312" w:hAnsi="仿宋_GB2312" w:eastAsia="仿宋_GB2312" w:cs="仿宋_GB2312"/>
                <w:sz w:val="32"/>
                <w:szCs w:val="32"/>
                <w:lang w:val="en-US" w:eastAsia="zh-CN"/>
              </w:rPr>
              <w:t>/教师</w:t>
            </w:r>
          </w:p>
        </w:tc>
        <w:tc>
          <w:tcPr>
            <w:tcW w:w="6932" w:type="dxa"/>
            <w:gridSpan w:val="3"/>
            <w:vAlign w:val="center"/>
          </w:tcPr>
          <w:p w14:paraId="1063F4AB">
            <w:pPr>
              <w:keepNext w:val="0"/>
              <w:keepLines w:val="0"/>
              <w:pageBreakBefore w:val="0"/>
              <w:widowControl/>
              <w:kinsoku/>
              <w:wordWrap/>
              <w:overflowPunct/>
              <w:topLinePunct w:val="0"/>
              <w:autoSpaceDE/>
              <w:autoSpaceDN/>
              <w:bidi w:val="0"/>
              <w:snapToGrid/>
              <w:spacing w:line="400" w:lineRule="exact"/>
              <w:jc w:val="center"/>
              <w:textAlignment w:val="center"/>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首都经济贸易大学劳动经济学院魏华颖</w:t>
            </w:r>
          </w:p>
        </w:tc>
      </w:tr>
      <w:tr w14:paraId="4E86E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0" w:hRule="atLeast"/>
          <w:jc w:val="center"/>
        </w:trPr>
        <w:tc>
          <w:tcPr>
            <w:tcW w:w="1668" w:type="dxa"/>
            <w:vAlign w:val="center"/>
          </w:tcPr>
          <w:p w14:paraId="148A0CA7">
            <w:pPr>
              <w:keepNext w:val="0"/>
              <w:keepLines w:val="0"/>
              <w:pageBreakBefore w:val="0"/>
              <w:widowControl/>
              <w:kinsoku/>
              <w:wordWrap/>
              <w:overflowPunct/>
              <w:topLinePunct w:val="0"/>
              <w:autoSpaceDE/>
              <w:autoSpaceDN/>
              <w:bidi w:val="0"/>
              <w:adjustRightInd w:val="0"/>
              <w:snapToGrid/>
              <w:spacing w:line="4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单位</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rPr>
              <w:t>简介</w:t>
            </w:r>
          </w:p>
        </w:tc>
        <w:tc>
          <w:tcPr>
            <w:tcW w:w="6932" w:type="dxa"/>
            <w:gridSpan w:val="3"/>
            <w:vAlign w:val="center"/>
          </w:tcPr>
          <w:p w14:paraId="45E3E132">
            <w:pPr>
              <w:keepNext w:val="0"/>
              <w:keepLines w:val="0"/>
              <w:pageBreakBefore w:val="0"/>
              <w:widowControl/>
              <w:kinsoku/>
              <w:wordWrap/>
              <w:overflowPunct/>
              <w:topLinePunct w:val="0"/>
              <w:autoSpaceDE/>
              <w:autoSpaceDN/>
              <w:bidi w:val="0"/>
              <w:adjustRightInd w:val="0"/>
              <w:snapToGrid/>
              <w:spacing w:line="440" w:lineRule="exact"/>
              <w:ind w:firstLine="664" w:firstLineChars="200"/>
              <w:jc w:val="both"/>
              <w:textAlignment w:val="auto"/>
              <w:rPr>
                <w:rFonts w:hint="eastAsia" w:ascii="仿宋_GB2312" w:hAnsi="仿宋_GB2312" w:eastAsia="仿宋_GB2312" w:cs="仿宋_GB2312"/>
                <w:bCs/>
                <w:spacing w:val="6"/>
                <w:sz w:val="32"/>
                <w:szCs w:val="32"/>
                <w:lang w:val="en-US" w:eastAsia="zh-CN"/>
              </w:rPr>
            </w:pPr>
            <w:r>
              <w:rPr>
                <w:rFonts w:hint="eastAsia" w:ascii="仿宋_GB2312" w:hAnsi="仿宋_GB2312" w:eastAsia="仿宋_GB2312" w:cs="仿宋_GB2312"/>
                <w:bCs/>
                <w:spacing w:val="6"/>
                <w:sz w:val="32"/>
                <w:szCs w:val="32"/>
                <w:lang w:val="en-US" w:eastAsia="zh-CN"/>
              </w:rPr>
              <w:t>劳动经济学院前身为1956年设立的北京劳动干部学校劳动经济班。1958年，北京劳动学院在北京劳动干部学校劳动经济班基础上建立劳动经济系。2000年，学院在学校原有劳动经济系以及人口经济研究所基础上成立。</w:t>
            </w:r>
          </w:p>
          <w:p w14:paraId="1080064B">
            <w:pPr>
              <w:keepNext w:val="0"/>
              <w:keepLines w:val="0"/>
              <w:pageBreakBefore w:val="0"/>
              <w:widowControl/>
              <w:kinsoku/>
              <w:wordWrap/>
              <w:overflowPunct/>
              <w:topLinePunct w:val="0"/>
              <w:autoSpaceDE/>
              <w:autoSpaceDN/>
              <w:bidi w:val="0"/>
              <w:adjustRightInd w:val="0"/>
              <w:snapToGrid/>
              <w:spacing w:line="440" w:lineRule="exact"/>
              <w:ind w:firstLine="664" w:firstLineChars="200"/>
              <w:jc w:val="both"/>
              <w:textAlignment w:val="auto"/>
              <w:rPr>
                <w:rFonts w:hint="eastAsia" w:ascii="仿宋_GB2312" w:hAnsi="仿宋_GB2312" w:eastAsia="仿宋_GB2312" w:cs="仿宋_GB2312"/>
                <w:bCs/>
                <w:spacing w:val="6"/>
                <w:sz w:val="32"/>
                <w:szCs w:val="32"/>
                <w:lang w:val="en-US" w:eastAsia="zh-CN"/>
              </w:rPr>
            </w:pPr>
            <w:r>
              <w:rPr>
                <w:rFonts w:hint="eastAsia" w:ascii="仿宋_GB2312" w:hAnsi="仿宋_GB2312" w:eastAsia="仿宋_GB2312" w:cs="仿宋_GB2312"/>
                <w:bCs/>
                <w:spacing w:val="6"/>
                <w:sz w:val="32"/>
                <w:szCs w:val="32"/>
                <w:lang w:val="en-US" w:eastAsia="zh-CN"/>
              </w:rPr>
              <w:t>学院有应用经济学博士后流动站1个；二级学科博士学位授权点4个：劳动经济学、人力资源开发与人才发展、劳动关系、人口资源与环境经济学；二级学科硕士学位授权点6个：劳动经济学、社会保障学、人口资源与环境经济学、人力资源开发与人才发展、劳动关系、社会工作专业硕士；本科专业5个：人力资源管理、劳动与社会保障、劳动经济学、社会工作、劳动关系。</w:t>
            </w:r>
          </w:p>
        </w:tc>
      </w:tr>
      <w:tr w14:paraId="10703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1668" w:type="dxa"/>
            <w:vAlign w:val="center"/>
          </w:tcPr>
          <w:p w14:paraId="2B93AD53">
            <w:pPr>
              <w:keepNext w:val="0"/>
              <w:keepLines w:val="0"/>
              <w:pageBreakBefore w:val="0"/>
              <w:widowControl/>
              <w:kinsoku/>
              <w:wordWrap/>
              <w:overflowPunct/>
              <w:topLinePunct w:val="0"/>
              <w:autoSpaceDE/>
              <w:autoSpaceDN/>
              <w:bidi w:val="0"/>
              <w:adjustRightInd w:val="0"/>
              <w:snapToGrid/>
              <w:spacing w:line="400" w:lineRule="exact"/>
              <w:jc w:val="center"/>
              <w:rPr>
                <w:rFonts w:hint="eastAsia" w:ascii="仿宋_GB2312" w:hAnsi="仿宋_GB2312" w:eastAsia="仿宋_GB2312" w:cs="仿宋_GB2312"/>
                <w:bCs/>
                <w:spacing w:val="6"/>
                <w:sz w:val="32"/>
                <w:szCs w:val="32"/>
              </w:rPr>
            </w:pPr>
            <w:r>
              <w:rPr>
                <w:rFonts w:hint="eastAsia" w:ascii="仿宋_GB2312" w:hAnsi="仿宋_GB2312" w:eastAsia="仿宋_GB2312" w:cs="仿宋_GB2312"/>
                <w:sz w:val="32"/>
                <w:szCs w:val="32"/>
                <w:lang w:val="en-US"/>
              </w:rPr>
              <w:t>联系人</w:t>
            </w:r>
          </w:p>
        </w:tc>
        <w:tc>
          <w:tcPr>
            <w:tcW w:w="3076" w:type="dxa"/>
            <w:vAlign w:val="center"/>
          </w:tcPr>
          <w:p w14:paraId="2CF70CAF">
            <w:pPr>
              <w:keepNext w:val="0"/>
              <w:keepLines w:val="0"/>
              <w:pageBreakBefore w:val="0"/>
              <w:widowControl/>
              <w:kinsoku/>
              <w:wordWrap/>
              <w:overflowPunct/>
              <w:topLinePunct w:val="0"/>
              <w:autoSpaceDE/>
              <w:autoSpaceDN/>
              <w:bidi w:val="0"/>
              <w:adjustRightInd w:val="0"/>
              <w:snapToGrid/>
              <w:spacing w:line="400" w:lineRule="exact"/>
              <w:jc w:val="center"/>
              <w:rPr>
                <w:rFonts w:hint="eastAsia" w:ascii="仿宋_GB2312" w:hAnsi="仿宋_GB2312" w:eastAsia="仿宋_GB2312" w:cs="仿宋_GB2312"/>
                <w:bCs/>
                <w:spacing w:val="6"/>
                <w:sz w:val="32"/>
                <w:szCs w:val="32"/>
                <w:lang w:val="en-US" w:eastAsia="zh-CN"/>
              </w:rPr>
            </w:pPr>
            <w:r>
              <w:rPr>
                <w:rFonts w:hint="eastAsia" w:ascii="仿宋_GB2312" w:hAnsi="仿宋_GB2312" w:eastAsia="仿宋_GB2312" w:cs="仿宋_GB2312"/>
                <w:bCs/>
                <w:spacing w:val="6"/>
                <w:sz w:val="32"/>
                <w:szCs w:val="32"/>
                <w:lang w:val="en-US" w:eastAsia="zh-CN"/>
              </w:rPr>
              <w:t>郭萱</w:t>
            </w:r>
          </w:p>
        </w:tc>
        <w:tc>
          <w:tcPr>
            <w:tcW w:w="1073" w:type="dxa"/>
            <w:vAlign w:val="center"/>
          </w:tcPr>
          <w:p w14:paraId="3B7A0706">
            <w:pPr>
              <w:keepNext w:val="0"/>
              <w:keepLines w:val="0"/>
              <w:pageBreakBefore w:val="0"/>
              <w:widowControl/>
              <w:kinsoku/>
              <w:wordWrap/>
              <w:overflowPunct/>
              <w:topLinePunct w:val="0"/>
              <w:autoSpaceDE/>
              <w:autoSpaceDN/>
              <w:bidi w:val="0"/>
              <w:adjustRightInd w:val="0"/>
              <w:snapToGrid/>
              <w:spacing w:line="400" w:lineRule="exact"/>
              <w:jc w:val="cente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手机</w:t>
            </w:r>
          </w:p>
        </w:tc>
        <w:tc>
          <w:tcPr>
            <w:tcW w:w="2783" w:type="dxa"/>
            <w:vAlign w:val="center"/>
          </w:tcPr>
          <w:p w14:paraId="1CACB5AC">
            <w:pPr>
              <w:keepNext w:val="0"/>
              <w:keepLines w:val="0"/>
              <w:pageBreakBefore w:val="0"/>
              <w:widowControl/>
              <w:kinsoku/>
              <w:wordWrap/>
              <w:overflowPunct/>
              <w:topLinePunct w:val="0"/>
              <w:autoSpaceDE/>
              <w:autoSpaceDN/>
              <w:bidi w:val="0"/>
              <w:adjustRightInd w:val="0"/>
              <w:snapToGrid/>
              <w:spacing w:line="400" w:lineRule="exact"/>
              <w:jc w:val="center"/>
              <w:rPr>
                <w:rFonts w:hint="default" w:ascii="仿宋_GB2312" w:hAnsi="仿宋_GB2312" w:eastAsia="仿宋_GB2312" w:cs="仿宋_GB2312"/>
                <w:sz w:val="32"/>
                <w:szCs w:val="32"/>
                <w:lang w:val="en-US"/>
              </w:rPr>
            </w:pPr>
            <w:r>
              <w:rPr>
                <w:rFonts w:hint="default" w:ascii="仿宋_GB2312" w:hAnsi="仿宋_GB2312" w:eastAsia="仿宋_GB2312" w:cs="仿宋_GB2312"/>
                <w:sz w:val="32"/>
                <w:szCs w:val="32"/>
                <w:lang w:val="en-US"/>
              </w:rPr>
              <w:t>13716428745</w:t>
            </w:r>
          </w:p>
        </w:tc>
      </w:tr>
    </w:tbl>
    <w:p w14:paraId="0BBC3543">
      <w:pPr>
        <w:tabs>
          <w:tab w:val="left" w:pos="8640"/>
        </w:tabs>
        <w:adjustRightInd w:val="0"/>
        <w:snapToGrid w:val="0"/>
        <w:spacing w:line="560" w:lineRule="exact"/>
        <w:rPr>
          <w:rFonts w:hint="eastAsia" w:ascii="黑体" w:hAnsi="黑体" w:eastAsia="黑体" w:cs="黑体"/>
          <w:bCs/>
          <w:spacing w:val="6"/>
          <w:sz w:val="32"/>
          <w:szCs w:val="32"/>
        </w:rPr>
      </w:pPr>
      <w:r>
        <w:rPr>
          <w:rFonts w:hint="eastAsia" w:ascii="黑体" w:hAnsi="黑体" w:eastAsia="黑体" w:cs="黑体"/>
          <w:bCs/>
          <w:spacing w:val="6"/>
          <w:sz w:val="32"/>
          <w:szCs w:val="32"/>
        </w:rPr>
        <w:t>二、选题说明</w:t>
      </w:r>
    </w:p>
    <w:tbl>
      <w:tblPr>
        <w:tblStyle w:val="5"/>
        <w:tblW w:w="861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887"/>
        <w:gridCol w:w="6724"/>
      </w:tblGrid>
      <w:tr w14:paraId="5A6626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660" w:hRule="atLeast"/>
          <w:jc w:val="center"/>
        </w:trPr>
        <w:tc>
          <w:tcPr>
            <w:tcW w:w="1887" w:type="dxa"/>
            <w:tcBorders>
              <w:tl2br w:val="nil"/>
              <w:tr2bl w:val="nil"/>
            </w:tcBorders>
            <w:shd w:val="clear" w:color="auto" w:fill="FFFFFF"/>
            <w:vAlign w:val="center"/>
          </w:tcPr>
          <w:p w14:paraId="5A39272D">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题目</w:t>
            </w:r>
          </w:p>
        </w:tc>
        <w:tc>
          <w:tcPr>
            <w:tcW w:w="6724" w:type="dxa"/>
            <w:tcBorders>
              <w:tl2br w:val="nil"/>
              <w:tr2bl w:val="nil"/>
            </w:tcBorders>
            <w:shd w:val="clear" w:color="auto" w:fill="FFFFFF"/>
            <w:vAlign w:val="center"/>
          </w:tcPr>
          <w:p w14:paraId="001C8D2F">
            <w:pPr>
              <w:keepNext w:val="0"/>
              <w:keepLines w:val="0"/>
              <w:pageBreakBefore w:val="0"/>
              <w:widowControl/>
              <w:kinsoku/>
              <w:wordWrap/>
              <w:overflowPunct/>
              <w:topLinePunct w:val="0"/>
              <w:autoSpaceDE/>
              <w:autoSpaceDN/>
              <w:bidi w:val="0"/>
              <w:adjustRightInd w:val="0"/>
              <w:spacing w:line="44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当代青年婚育意愿及影响因素研究</w:t>
            </w:r>
          </w:p>
        </w:tc>
      </w:tr>
      <w:tr w14:paraId="6D2CE4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771" w:hRule="atLeast"/>
          <w:jc w:val="center"/>
        </w:trPr>
        <w:tc>
          <w:tcPr>
            <w:tcW w:w="1887" w:type="dxa"/>
            <w:tcBorders>
              <w:tl2br w:val="nil"/>
              <w:tr2bl w:val="nil"/>
            </w:tcBorders>
            <w:shd w:val="clear" w:color="auto" w:fill="FFFFFF"/>
            <w:vAlign w:val="center"/>
          </w:tcPr>
          <w:p w14:paraId="52250099">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题目介绍</w:t>
            </w:r>
          </w:p>
        </w:tc>
        <w:tc>
          <w:tcPr>
            <w:tcW w:w="6724" w:type="dxa"/>
            <w:tcBorders>
              <w:tl2br w:val="nil"/>
              <w:tr2bl w:val="nil"/>
            </w:tcBorders>
            <w:shd w:val="clear" w:color="auto" w:fill="FFFFFF"/>
            <w:vAlign w:val="center"/>
          </w:tcPr>
          <w:p w14:paraId="5CA4CEF0">
            <w:pPr>
              <w:keepNext w:val="0"/>
              <w:keepLines w:val="0"/>
              <w:pageBreakBefore w:val="0"/>
              <w:widowControl/>
              <w:kinsoku/>
              <w:wordWrap/>
              <w:overflowPunct/>
              <w:topLinePunct w:val="0"/>
              <w:autoSpaceDE/>
              <w:autoSpaceDN/>
              <w:bidi w:val="0"/>
              <w:adjustRightInd w:val="0"/>
              <w:snapToGrid w:val="0"/>
              <w:spacing w:line="440" w:lineRule="exact"/>
              <w:ind w:firstLine="664" w:firstLineChars="200"/>
              <w:jc w:val="both"/>
              <w:textAlignment w:val="auto"/>
              <w:rPr>
                <w:rFonts w:hint="eastAsia" w:ascii="仿宋_GB2312" w:hAnsi="仿宋_GB2312" w:eastAsia="仿宋_GB2312" w:cs="仿宋_GB2312"/>
                <w:bCs/>
                <w:spacing w:val="6"/>
                <w:sz w:val="32"/>
                <w:szCs w:val="32"/>
                <w:lang w:val="en-US" w:eastAsia="zh-CN"/>
              </w:rPr>
            </w:pPr>
            <w:r>
              <w:rPr>
                <w:rFonts w:hint="eastAsia" w:ascii="仿宋_GB2312" w:hAnsi="仿宋_GB2312" w:eastAsia="仿宋_GB2312" w:cs="仿宋_GB2312"/>
                <w:bCs/>
                <w:spacing w:val="6"/>
                <w:sz w:val="32"/>
                <w:szCs w:val="32"/>
                <w:lang w:val="en-US" w:eastAsia="zh-CN"/>
              </w:rPr>
              <w:t>当前，我国人口发展进入关键转折期。2022年我国正式进入人口负增长阶段，总和生育率长期低于更替水平，“少子化”与“老龄化”交织叠加，成为制约经济社会可持续发展的结构性挑战。在此背景下，作为未来婚育行为的主体，青年不仅是婚育文化变迁的关键“风向标”，而且他们的婚育价值体系深刻影响家庭制度与人口结构的演变方向。</w:t>
            </w:r>
          </w:p>
          <w:p w14:paraId="5A74ABD3">
            <w:pPr>
              <w:keepNext w:val="0"/>
              <w:keepLines w:val="0"/>
              <w:pageBreakBefore w:val="0"/>
              <w:widowControl/>
              <w:kinsoku/>
              <w:wordWrap/>
              <w:overflowPunct/>
              <w:topLinePunct w:val="0"/>
              <w:autoSpaceDE/>
              <w:autoSpaceDN/>
              <w:bidi w:val="0"/>
              <w:adjustRightInd w:val="0"/>
              <w:snapToGrid w:val="0"/>
              <w:spacing w:line="440" w:lineRule="exact"/>
              <w:ind w:firstLine="664" w:firstLineChars="200"/>
              <w:jc w:val="both"/>
              <w:textAlignment w:val="auto"/>
              <w:rPr>
                <w:rFonts w:hint="eastAsia" w:ascii="仿宋_GB2312" w:hAnsi="仿宋_GB2312" w:eastAsia="仿宋_GB2312" w:cs="仿宋_GB2312"/>
                <w:bCs/>
                <w:spacing w:val="6"/>
                <w:sz w:val="32"/>
                <w:szCs w:val="32"/>
                <w:lang w:val="en-US" w:eastAsia="zh-CN"/>
              </w:rPr>
            </w:pPr>
            <w:r>
              <w:rPr>
                <w:rFonts w:hint="eastAsia" w:ascii="仿宋_GB2312" w:hAnsi="仿宋_GB2312" w:eastAsia="仿宋_GB2312" w:cs="仿宋_GB2312"/>
                <w:bCs/>
                <w:spacing w:val="6"/>
                <w:sz w:val="32"/>
                <w:szCs w:val="32"/>
                <w:lang w:val="en-US" w:eastAsia="zh-CN"/>
              </w:rPr>
              <w:t>本研究团队现已完成为期四年、共两期的追踪调查，并拟于本年度启动第三期数据采集，以期形成纵向对比数据。本研究将从恋爱经历、婚姻意愿、生育意愿三个层面描述青年婚育现状，并综合考察个体特征、婚育价值观、家庭背景及外部环境等因素对婚育意愿的多层次影响，旨在揭示当代青年婚育观念的特征、变化趋势及其作用机制。</w:t>
            </w:r>
          </w:p>
        </w:tc>
      </w:tr>
      <w:tr w14:paraId="4E3CD9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236" w:hRule="atLeast"/>
          <w:jc w:val="center"/>
        </w:trPr>
        <w:tc>
          <w:tcPr>
            <w:tcW w:w="1887" w:type="dxa"/>
            <w:tcBorders>
              <w:right w:val="single" w:color="auto" w:sz="4" w:space="0"/>
              <w:tl2br w:val="nil"/>
              <w:tr2bl w:val="nil"/>
            </w:tcBorders>
            <w:shd w:val="clear" w:color="auto" w:fill="FFFFFF"/>
            <w:vAlign w:val="center"/>
          </w:tcPr>
          <w:p w14:paraId="0D5D5436">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最终成果</w:t>
            </w:r>
            <w:r>
              <w:rPr>
                <w:rFonts w:hint="eastAsia" w:ascii="仿宋_GB2312" w:hAnsi="仿宋_GB2312" w:eastAsia="仿宋_GB2312" w:cs="仿宋_GB2312"/>
                <w:sz w:val="32"/>
                <w:szCs w:val="32"/>
              </w:rPr>
              <w:t>要求</w:t>
            </w:r>
          </w:p>
        </w:tc>
        <w:tc>
          <w:tcPr>
            <w:tcW w:w="6724" w:type="dxa"/>
            <w:tcBorders>
              <w:top w:val="single" w:color="auto" w:sz="4" w:space="0"/>
              <w:left w:val="single" w:color="auto" w:sz="4" w:space="0"/>
              <w:bottom w:val="single" w:color="auto" w:sz="4" w:space="0"/>
              <w:right w:val="single" w:color="auto" w:sz="4" w:space="0"/>
              <w:tl2br w:val="nil"/>
              <w:tr2bl w:val="nil"/>
            </w:tcBorders>
            <w:shd w:val="clear" w:color="auto" w:fill="FFFFFF"/>
            <w:vAlign w:val="center"/>
          </w:tcPr>
          <w:p w14:paraId="2A4FBD2F">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建议根据题目介绍内容要求完成</w:t>
            </w:r>
          </w:p>
          <w:p w14:paraId="647385C5">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《当代青年婚育意愿及影响因素研究》</w:t>
            </w:r>
          </w:p>
          <w:p w14:paraId="5A0503ED">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研究报告。</w:t>
            </w:r>
          </w:p>
        </w:tc>
      </w:tr>
    </w:tbl>
    <w:p w14:paraId="4A177DBE">
      <w:pPr>
        <w:tabs>
          <w:tab w:val="left" w:pos="8640"/>
        </w:tabs>
        <w:adjustRightInd w:val="0"/>
        <w:snapToGrid w:val="0"/>
        <w:spacing w:line="560" w:lineRule="exact"/>
        <w:rPr>
          <w:rFonts w:hint="eastAsia" w:ascii="黑体" w:hAnsi="黑体" w:eastAsia="黑体" w:cs="黑体"/>
          <w:bCs/>
          <w:spacing w:val="6"/>
          <w:sz w:val="32"/>
          <w:szCs w:val="32"/>
        </w:rPr>
      </w:pPr>
      <w:r>
        <w:rPr>
          <w:rFonts w:hint="eastAsia" w:ascii="黑体" w:hAnsi="黑体" w:eastAsia="黑体" w:cs="黑体"/>
          <w:bCs/>
          <w:spacing w:val="6"/>
          <w:sz w:val="32"/>
          <w:szCs w:val="32"/>
        </w:rPr>
        <w:t>三、激励保障</w:t>
      </w:r>
      <w:bookmarkStart w:id="1" w:name="_GoBack"/>
      <w:bookmarkEnd w:id="1"/>
    </w:p>
    <w:tbl>
      <w:tblPr>
        <w:tblStyle w:val="5"/>
        <w:tblW w:w="850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815"/>
        <w:gridCol w:w="6689"/>
      </w:tblGrid>
      <w:tr w14:paraId="3B2DCD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3623" w:hRule="atLeast"/>
          <w:jc w:val="center"/>
        </w:trPr>
        <w:tc>
          <w:tcPr>
            <w:tcW w:w="1815" w:type="dxa"/>
            <w:tcBorders>
              <w:tl2br w:val="nil"/>
              <w:tr2bl w:val="nil"/>
            </w:tcBorders>
            <w:shd w:val="clear" w:color="auto" w:fill="FFFFFF"/>
            <w:vAlign w:val="center"/>
          </w:tcPr>
          <w:p w14:paraId="39661676">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eastAsia="zh-CN"/>
              </w:rPr>
            </w:pPr>
            <w:bookmarkStart w:id="0" w:name="OLE_LINK2"/>
            <w:r>
              <w:rPr>
                <w:rFonts w:hint="eastAsia" w:ascii="仿宋_GB2312" w:hAnsi="仿宋_GB2312" w:eastAsia="仿宋_GB2312" w:cs="仿宋_GB2312"/>
                <w:sz w:val="32"/>
                <w:szCs w:val="32"/>
                <w:lang w:val="en-US" w:eastAsia="zh-CN"/>
              </w:rPr>
              <w:t>资源支持</w:t>
            </w:r>
          </w:p>
        </w:tc>
        <w:tc>
          <w:tcPr>
            <w:tcW w:w="6689" w:type="dxa"/>
            <w:tcBorders>
              <w:tl2br w:val="nil"/>
              <w:tr2bl w:val="nil"/>
            </w:tcBorders>
            <w:shd w:val="clear" w:color="auto" w:fill="FFFFFF"/>
            <w:vAlign w:val="center"/>
          </w:tcPr>
          <w:p w14:paraId="27289C2A">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1、数据支持；</w:t>
            </w:r>
          </w:p>
          <w:p w14:paraId="1FF3A184">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2、宽松的工作环境；</w:t>
            </w:r>
          </w:p>
          <w:p w14:paraId="22EE798A">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3、丰厚的劳动回报；</w:t>
            </w:r>
          </w:p>
          <w:p w14:paraId="212CBFFA">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4、对于有数据处理能力，能够熟练使用stata等数据处理软件的，如没有成熟团队，可个人报名，由出题方进行团队组建。</w:t>
            </w:r>
          </w:p>
        </w:tc>
      </w:tr>
      <w:bookmarkEnd w:id="0"/>
    </w:tbl>
    <w:p w14:paraId="2B09BF00">
      <w:pPr>
        <w:tabs>
          <w:tab w:val="left" w:pos="8640"/>
        </w:tabs>
        <w:adjustRightInd w:val="0"/>
        <w:snapToGrid w:val="0"/>
        <w:spacing w:line="560" w:lineRule="exact"/>
        <w:rPr>
          <w:rFonts w:hint="default" w:ascii="黑体" w:hAnsi="黑体" w:eastAsia="黑体" w:cs="黑体"/>
          <w:bCs/>
          <w:spacing w:val="6"/>
          <w:sz w:val="32"/>
          <w:szCs w:val="32"/>
          <w:lang w:val="en-US" w:eastAsia="zh-CN"/>
        </w:rPr>
      </w:pPr>
      <w:r>
        <w:rPr>
          <w:rFonts w:hint="eastAsia" w:ascii="黑体" w:hAnsi="黑体" w:eastAsia="黑体" w:cs="黑体"/>
          <w:bCs/>
          <w:spacing w:val="6"/>
          <w:sz w:val="32"/>
          <w:szCs w:val="32"/>
          <w:lang w:val="en-US" w:eastAsia="zh-CN"/>
        </w:rPr>
        <w:t>四、提交方式</w:t>
      </w:r>
    </w:p>
    <w:tbl>
      <w:tblPr>
        <w:tblStyle w:val="5"/>
        <w:tblW w:w="850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815"/>
        <w:gridCol w:w="6689"/>
      </w:tblGrid>
      <w:tr w14:paraId="643776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PrEx>
        <w:trPr>
          <w:trHeight w:val="1484" w:hRule="atLeast"/>
          <w:jc w:val="center"/>
        </w:trPr>
        <w:tc>
          <w:tcPr>
            <w:tcW w:w="1815" w:type="dxa"/>
            <w:tcBorders>
              <w:tl2br w:val="nil"/>
              <w:tr2bl w:val="nil"/>
            </w:tcBorders>
            <w:shd w:val="clear" w:color="auto" w:fill="FFFFFF"/>
            <w:vAlign w:val="center"/>
          </w:tcPr>
          <w:p w14:paraId="38C02B58">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提交时间</w:t>
            </w:r>
          </w:p>
        </w:tc>
        <w:tc>
          <w:tcPr>
            <w:tcW w:w="6689" w:type="dxa"/>
            <w:tcBorders>
              <w:tl2br w:val="nil"/>
              <w:tr2bl w:val="nil"/>
            </w:tcBorders>
            <w:shd w:val="clear" w:color="auto" w:fill="FFFFFF"/>
            <w:vAlign w:val="center"/>
          </w:tcPr>
          <w:p w14:paraId="6AE6DF08">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5月27日前，提交符合榜单要求的实践方案</w:t>
            </w:r>
          </w:p>
          <w:p w14:paraId="0A1E76D2">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Cs/>
                <w:sz w:val="32"/>
                <w:szCs w:val="32"/>
                <w:lang w:val="en-US" w:eastAsia="zh-CN"/>
              </w:rPr>
              <w:t>注：此实践方案为遴选挂帅团队的重要材料</w:t>
            </w:r>
          </w:p>
        </w:tc>
      </w:tr>
      <w:tr w14:paraId="271B1E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57" w:type="dxa"/>
            <w:left w:w="57" w:type="dxa"/>
            <w:bottom w:w="57" w:type="dxa"/>
            <w:right w:w="57" w:type="dxa"/>
          </w:tblCellMar>
        </w:tblPrEx>
        <w:trPr>
          <w:trHeight w:val="1484" w:hRule="atLeast"/>
          <w:jc w:val="center"/>
        </w:trPr>
        <w:tc>
          <w:tcPr>
            <w:tcW w:w="1815" w:type="dxa"/>
            <w:tcBorders>
              <w:tl2br w:val="nil"/>
              <w:tr2bl w:val="nil"/>
            </w:tcBorders>
            <w:shd w:val="clear" w:color="auto" w:fill="FFFFFF"/>
            <w:vAlign w:val="center"/>
          </w:tcPr>
          <w:p w14:paraId="42CAF90F">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提交邮箱</w:t>
            </w:r>
          </w:p>
        </w:tc>
        <w:tc>
          <w:tcPr>
            <w:tcW w:w="6689" w:type="dxa"/>
            <w:tcBorders>
              <w:tl2br w:val="nil"/>
              <w:tr2bl w:val="nil"/>
            </w:tcBorders>
            <w:shd w:val="clear" w:color="auto" w:fill="FFFFFF"/>
            <w:vAlign w:val="center"/>
          </w:tcPr>
          <w:p w14:paraId="30CDA0F4">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daisyguo001@163.com</w:t>
            </w:r>
          </w:p>
        </w:tc>
      </w:tr>
    </w:tbl>
    <w:p w14:paraId="0C6B82F3">
      <w:pPr>
        <w:tabs>
          <w:tab w:val="left" w:pos="8640"/>
        </w:tabs>
        <w:adjustRightInd w:val="0"/>
        <w:snapToGrid w:val="0"/>
        <w:spacing w:line="560" w:lineRule="exact"/>
        <w:rPr>
          <w:rFonts w:hint="default" w:ascii="方正楷体简体" w:hAnsi="方正楷体简体" w:eastAsia="方正楷体简体" w:cs="方正楷体简体"/>
          <w:lang w:val="en-US" w:eastAsia="zh-CN"/>
        </w:rPr>
      </w:pPr>
    </w:p>
    <w:sectPr>
      <w:footerReference r:id="rId3" w:type="default"/>
      <w:pgSz w:w="11906" w:h="16838"/>
      <w:pgMar w:top="1587" w:right="1474" w:bottom="147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4B1FBD8-094D-4758-869C-F18DDD5158F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0000600000000000000"/>
    <w:charset w:val="86"/>
    <w:family w:val="auto"/>
    <w:pitch w:val="default"/>
    <w:sig w:usb0="800002BF" w:usb1="184F6CF8" w:usb2="00000012" w:usb3="00000000" w:csb0="00160001" w:csb1="12030000"/>
    <w:embedRegular r:id="rId2" w:fontKey="{5B2D8268-C5AE-4BD5-AE0A-29E947693EEE}"/>
  </w:font>
  <w:font w:name="方正黑体简体">
    <w:altName w:val="微软雅黑"/>
    <w:panose1 w:val="02010601030101010101"/>
    <w:charset w:val="86"/>
    <w:family w:val="auto"/>
    <w:pitch w:val="default"/>
    <w:sig w:usb0="00000000" w:usb1="00000000" w:usb2="00000010" w:usb3="00000000" w:csb0="00040000" w:csb1="00000000"/>
    <w:embedRegular r:id="rId3" w:fontKey="{91AB603D-C8BF-43C1-87D4-21E27CC0D00F}"/>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embedRegular r:id="rId4" w:fontKey="{0CAD4962-289A-442E-B61E-D153F9A7B305}"/>
  </w:font>
  <w:font w:name="方正楷体简体">
    <w:altName w:val="宋体"/>
    <w:panose1 w:val="02000000000000000000"/>
    <w:charset w:val="86"/>
    <w:family w:val="auto"/>
    <w:pitch w:val="default"/>
    <w:sig w:usb0="00000000" w:usb1="00000000" w:usb2="00000000" w:usb3="00000000" w:csb0="00000000" w:csb1="00000000"/>
    <w:embedRegular r:id="rId5" w:fontKey="{5FFE8357-DDF5-40C3-8139-7EB31359BC2B}"/>
  </w:font>
  <w:font w:name="仿宋">
    <w:panose1 w:val="02010609060101010101"/>
    <w:charset w:val="86"/>
    <w:family w:val="auto"/>
    <w:pitch w:val="default"/>
    <w:sig w:usb0="800002BF" w:usb1="38CF7CFA" w:usb2="00000016" w:usb3="00000000" w:csb0="00040001" w:csb1="00000000"/>
  </w:font>
  <w:font w:name="FZSSK--GBK1-0">
    <w:altName w:val="Segoe Print"/>
    <w:panose1 w:val="00000000000000000000"/>
    <w:charset w:val="00"/>
    <w:family w:val="auto"/>
    <w:pitch w:val="default"/>
    <w:sig w:usb0="00000000" w:usb1="00000000" w:usb2="00000000" w:usb3="00000000" w:csb0="00000000" w:csb1="00000000"/>
  </w:font>
  <w:font w:name="E-BZ">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5651566"/>
    </w:sdtPr>
    <w:sdtContent>
      <w:p w14:paraId="4EE0AE71">
        <w:pPr>
          <w:pStyle w:val="2"/>
          <w:jc w:val="center"/>
        </w:pPr>
        <w:r>
          <w:fldChar w:fldCharType="begin"/>
        </w:r>
        <w:r>
          <w:instrText xml:space="preserve">PAGE   \* MERGEFORMAT</w:instrText>
        </w:r>
        <w:r>
          <w:fldChar w:fldCharType="separate"/>
        </w:r>
        <w:r>
          <w:rPr>
            <w:lang w:val="zh-CN"/>
          </w:rPr>
          <w:t>4</w:t>
        </w:r>
        <w:r>
          <w:fldChar w:fldCharType="end"/>
        </w:r>
      </w:p>
    </w:sdtContent>
  </w:sdt>
  <w:p w14:paraId="1FC8ACBD">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kZTM5OTU0MmM2OTY1OWU4NzEyZWIyODMyNTc1ZTUifQ=="/>
  </w:docVars>
  <w:rsids>
    <w:rsidRoot w:val="008769EE"/>
    <w:rsid w:val="000024AF"/>
    <w:rsid w:val="00005D1C"/>
    <w:rsid w:val="00016504"/>
    <w:rsid w:val="00021C1D"/>
    <w:rsid w:val="000420F1"/>
    <w:rsid w:val="00057714"/>
    <w:rsid w:val="000579E3"/>
    <w:rsid w:val="000626B0"/>
    <w:rsid w:val="00075C5A"/>
    <w:rsid w:val="000A6775"/>
    <w:rsid w:val="000B59FE"/>
    <w:rsid w:val="000D5792"/>
    <w:rsid w:val="000D57EF"/>
    <w:rsid w:val="000D5CE7"/>
    <w:rsid w:val="0010322A"/>
    <w:rsid w:val="0011069F"/>
    <w:rsid w:val="00115043"/>
    <w:rsid w:val="00120156"/>
    <w:rsid w:val="001360CE"/>
    <w:rsid w:val="001367A9"/>
    <w:rsid w:val="00142352"/>
    <w:rsid w:val="00143054"/>
    <w:rsid w:val="001579F2"/>
    <w:rsid w:val="00164C26"/>
    <w:rsid w:val="0016564C"/>
    <w:rsid w:val="00172BF5"/>
    <w:rsid w:val="00175648"/>
    <w:rsid w:val="001A0246"/>
    <w:rsid w:val="001A6D11"/>
    <w:rsid w:val="001B0D74"/>
    <w:rsid w:val="001B2C6C"/>
    <w:rsid w:val="001C0DFA"/>
    <w:rsid w:val="001D0729"/>
    <w:rsid w:val="001D4806"/>
    <w:rsid w:val="001E741B"/>
    <w:rsid w:val="001E760D"/>
    <w:rsid w:val="001E77C2"/>
    <w:rsid w:val="001F5AC3"/>
    <w:rsid w:val="001F6CC8"/>
    <w:rsid w:val="0020086A"/>
    <w:rsid w:val="00217A97"/>
    <w:rsid w:val="0022027A"/>
    <w:rsid w:val="00236E3E"/>
    <w:rsid w:val="0026569C"/>
    <w:rsid w:val="00277A57"/>
    <w:rsid w:val="00281AE9"/>
    <w:rsid w:val="00283877"/>
    <w:rsid w:val="002923C5"/>
    <w:rsid w:val="002938E3"/>
    <w:rsid w:val="002B0D40"/>
    <w:rsid w:val="002D1753"/>
    <w:rsid w:val="002D6FA5"/>
    <w:rsid w:val="002E7BFD"/>
    <w:rsid w:val="002F7D9C"/>
    <w:rsid w:val="00341051"/>
    <w:rsid w:val="00343B96"/>
    <w:rsid w:val="00354FAF"/>
    <w:rsid w:val="00363E2D"/>
    <w:rsid w:val="003701CF"/>
    <w:rsid w:val="00371816"/>
    <w:rsid w:val="003845ED"/>
    <w:rsid w:val="00392185"/>
    <w:rsid w:val="0039481F"/>
    <w:rsid w:val="003A2D89"/>
    <w:rsid w:val="003B6C68"/>
    <w:rsid w:val="003E007F"/>
    <w:rsid w:val="00455A1D"/>
    <w:rsid w:val="00463782"/>
    <w:rsid w:val="00476A7D"/>
    <w:rsid w:val="004876C3"/>
    <w:rsid w:val="00494F44"/>
    <w:rsid w:val="00496D3E"/>
    <w:rsid w:val="004A0A91"/>
    <w:rsid w:val="004A4E02"/>
    <w:rsid w:val="004B00B4"/>
    <w:rsid w:val="004B01E5"/>
    <w:rsid w:val="004D0FC5"/>
    <w:rsid w:val="004D7510"/>
    <w:rsid w:val="004E551C"/>
    <w:rsid w:val="004F3DC9"/>
    <w:rsid w:val="00521EB2"/>
    <w:rsid w:val="005269C8"/>
    <w:rsid w:val="00532B4E"/>
    <w:rsid w:val="005333BA"/>
    <w:rsid w:val="0053363C"/>
    <w:rsid w:val="00550A20"/>
    <w:rsid w:val="00564E32"/>
    <w:rsid w:val="00574E86"/>
    <w:rsid w:val="005753FB"/>
    <w:rsid w:val="00577641"/>
    <w:rsid w:val="00580524"/>
    <w:rsid w:val="00585CAC"/>
    <w:rsid w:val="005944CA"/>
    <w:rsid w:val="005A1DB0"/>
    <w:rsid w:val="005C1A80"/>
    <w:rsid w:val="005C1AAC"/>
    <w:rsid w:val="005C6ACD"/>
    <w:rsid w:val="005D33E1"/>
    <w:rsid w:val="005D5D40"/>
    <w:rsid w:val="00603AF5"/>
    <w:rsid w:val="00606DA8"/>
    <w:rsid w:val="00613169"/>
    <w:rsid w:val="00613AAA"/>
    <w:rsid w:val="006226BA"/>
    <w:rsid w:val="00624B5C"/>
    <w:rsid w:val="00633F6B"/>
    <w:rsid w:val="00636F96"/>
    <w:rsid w:val="00646247"/>
    <w:rsid w:val="0066226D"/>
    <w:rsid w:val="00662D41"/>
    <w:rsid w:val="00663468"/>
    <w:rsid w:val="00693B33"/>
    <w:rsid w:val="00696378"/>
    <w:rsid w:val="006A3A6E"/>
    <w:rsid w:val="006A51DF"/>
    <w:rsid w:val="006C3959"/>
    <w:rsid w:val="006C732F"/>
    <w:rsid w:val="006D5E75"/>
    <w:rsid w:val="006E6DDA"/>
    <w:rsid w:val="006F10F0"/>
    <w:rsid w:val="00704B08"/>
    <w:rsid w:val="007168CF"/>
    <w:rsid w:val="007216F0"/>
    <w:rsid w:val="00724EAF"/>
    <w:rsid w:val="0073249A"/>
    <w:rsid w:val="00746651"/>
    <w:rsid w:val="0074676F"/>
    <w:rsid w:val="0075096A"/>
    <w:rsid w:val="00751811"/>
    <w:rsid w:val="00753ECA"/>
    <w:rsid w:val="007711FB"/>
    <w:rsid w:val="00777C79"/>
    <w:rsid w:val="00792BCA"/>
    <w:rsid w:val="007934F8"/>
    <w:rsid w:val="00801614"/>
    <w:rsid w:val="00805D49"/>
    <w:rsid w:val="00816F55"/>
    <w:rsid w:val="00825DE6"/>
    <w:rsid w:val="00825FD8"/>
    <w:rsid w:val="008313DD"/>
    <w:rsid w:val="008321B0"/>
    <w:rsid w:val="00846294"/>
    <w:rsid w:val="0085042E"/>
    <w:rsid w:val="00851D22"/>
    <w:rsid w:val="0086052B"/>
    <w:rsid w:val="00860FD3"/>
    <w:rsid w:val="008669B5"/>
    <w:rsid w:val="00867EEA"/>
    <w:rsid w:val="00872C0C"/>
    <w:rsid w:val="008738D4"/>
    <w:rsid w:val="008769EE"/>
    <w:rsid w:val="0088143A"/>
    <w:rsid w:val="008836AC"/>
    <w:rsid w:val="00887D7E"/>
    <w:rsid w:val="0089086B"/>
    <w:rsid w:val="008A16EE"/>
    <w:rsid w:val="008B748E"/>
    <w:rsid w:val="008C4B94"/>
    <w:rsid w:val="008D1E8D"/>
    <w:rsid w:val="008E3EE3"/>
    <w:rsid w:val="008F2FB1"/>
    <w:rsid w:val="00912ADC"/>
    <w:rsid w:val="00917F07"/>
    <w:rsid w:val="00923192"/>
    <w:rsid w:val="00931DCA"/>
    <w:rsid w:val="00932E54"/>
    <w:rsid w:val="0093518D"/>
    <w:rsid w:val="00937CB6"/>
    <w:rsid w:val="00953BA4"/>
    <w:rsid w:val="00954857"/>
    <w:rsid w:val="009632E8"/>
    <w:rsid w:val="00966187"/>
    <w:rsid w:val="009722F8"/>
    <w:rsid w:val="00984CEA"/>
    <w:rsid w:val="00987542"/>
    <w:rsid w:val="00995541"/>
    <w:rsid w:val="009E7C56"/>
    <w:rsid w:val="00A02213"/>
    <w:rsid w:val="00A0235C"/>
    <w:rsid w:val="00A21117"/>
    <w:rsid w:val="00A22759"/>
    <w:rsid w:val="00A2670B"/>
    <w:rsid w:val="00A30D68"/>
    <w:rsid w:val="00A4232F"/>
    <w:rsid w:val="00A43480"/>
    <w:rsid w:val="00A46FCF"/>
    <w:rsid w:val="00A601D5"/>
    <w:rsid w:val="00A75F29"/>
    <w:rsid w:val="00AA45FC"/>
    <w:rsid w:val="00AA7BD8"/>
    <w:rsid w:val="00AB1BF4"/>
    <w:rsid w:val="00AB47FD"/>
    <w:rsid w:val="00AC7734"/>
    <w:rsid w:val="00AD24CF"/>
    <w:rsid w:val="00AD6CFA"/>
    <w:rsid w:val="00AE66B7"/>
    <w:rsid w:val="00B37F1A"/>
    <w:rsid w:val="00B40CAF"/>
    <w:rsid w:val="00B46BCA"/>
    <w:rsid w:val="00B52CCC"/>
    <w:rsid w:val="00B66E73"/>
    <w:rsid w:val="00B67EB8"/>
    <w:rsid w:val="00B7486E"/>
    <w:rsid w:val="00B96E4E"/>
    <w:rsid w:val="00BA70BA"/>
    <w:rsid w:val="00BA7D67"/>
    <w:rsid w:val="00BD0A75"/>
    <w:rsid w:val="00BE634B"/>
    <w:rsid w:val="00BF4E2D"/>
    <w:rsid w:val="00C217F1"/>
    <w:rsid w:val="00C24C93"/>
    <w:rsid w:val="00C57018"/>
    <w:rsid w:val="00C60328"/>
    <w:rsid w:val="00C678B8"/>
    <w:rsid w:val="00C720F3"/>
    <w:rsid w:val="00C82B11"/>
    <w:rsid w:val="00C94172"/>
    <w:rsid w:val="00C97BA0"/>
    <w:rsid w:val="00CA19F5"/>
    <w:rsid w:val="00CB5FAC"/>
    <w:rsid w:val="00CB6FC8"/>
    <w:rsid w:val="00CC608E"/>
    <w:rsid w:val="00CD6EE9"/>
    <w:rsid w:val="00D05DE3"/>
    <w:rsid w:val="00D23696"/>
    <w:rsid w:val="00D41F2A"/>
    <w:rsid w:val="00D474E2"/>
    <w:rsid w:val="00D47E2B"/>
    <w:rsid w:val="00D531BB"/>
    <w:rsid w:val="00D55D40"/>
    <w:rsid w:val="00D71164"/>
    <w:rsid w:val="00D8092B"/>
    <w:rsid w:val="00D826F5"/>
    <w:rsid w:val="00D920B0"/>
    <w:rsid w:val="00DB02D9"/>
    <w:rsid w:val="00DB05D8"/>
    <w:rsid w:val="00DB59F1"/>
    <w:rsid w:val="00DD4992"/>
    <w:rsid w:val="00DE5602"/>
    <w:rsid w:val="00DF09AA"/>
    <w:rsid w:val="00DF64DF"/>
    <w:rsid w:val="00DF78E0"/>
    <w:rsid w:val="00E01DD4"/>
    <w:rsid w:val="00E02303"/>
    <w:rsid w:val="00E1302F"/>
    <w:rsid w:val="00E13134"/>
    <w:rsid w:val="00E30024"/>
    <w:rsid w:val="00E46C70"/>
    <w:rsid w:val="00E47733"/>
    <w:rsid w:val="00E5011B"/>
    <w:rsid w:val="00E524CD"/>
    <w:rsid w:val="00E65FC6"/>
    <w:rsid w:val="00E7048E"/>
    <w:rsid w:val="00E72C07"/>
    <w:rsid w:val="00EA0B44"/>
    <w:rsid w:val="00EB1E9B"/>
    <w:rsid w:val="00EB2BDB"/>
    <w:rsid w:val="00EB4B20"/>
    <w:rsid w:val="00EB66C3"/>
    <w:rsid w:val="00EC44BC"/>
    <w:rsid w:val="00ED65A9"/>
    <w:rsid w:val="00ED683E"/>
    <w:rsid w:val="00EF3C50"/>
    <w:rsid w:val="00EF5210"/>
    <w:rsid w:val="00F10C18"/>
    <w:rsid w:val="00F256C4"/>
    <w:rsid w:val="00F26931"/>
    <w:rsid w:val="00F57CAE"/>
    <w:rsid w:val="00F669A4"/>
    <w:rsid w:val="00F713C4"/>
    <w:rsid w:val="00F73E78"/>
    <w:rsid w:val="00F74A1C"/>
    <w:rsid w:val="00F75202"/>
    <w:rsid w:val="00F855BA"/>
    <w:rsid w:val="00F86CD9"/>
    <w:rsid w:val="00F910DA"/>
    <w:rsid w:val="00FB4A99"/>
    <w:rsid w:val="00FC2914"/>
    <w:rsid w:val="00FF5C3F"/>
    <w:rsid w:val="011D4668"/>
    <w:rsid w:val="03803D68"/>
    <w:rsid w:val="040E5D41"/>
    <w:rsid w:val="04816A57"/>
    <w:rsid w:val="051528EC"/>
    <w:rsid w:val="05C978FD"/>
    <w:rsid w:val="0671705A"/>
    <w:rsid w:val="06732134"/>
    <w:rsid w:val="06B96375"/>
    <w:rsid w:val="07463F1D"/>
    <w:rsid w:val="078F2493"/>
    <w:rsid w:val="0A8F7AAE"/>
    <w:rsid w:val="0B4A5469"/>
    <w:rsid w:val="0B6B3F04"/>
    <w:rsid w:val="0B6F69F0"/>
    <w:rsid w:val="0C645CC6"/>
    <w:rsid w:val="0C955B7E"/>
    <w:rsid w:val="0DCF4D92"/>
    <w:rsid w:val="0F78357E"/>
    <w:rsid w:val="10470AA0"/>
    <w:rsid w:val="107F47F9"/>
    <w:rsid w:val="10DB3A4D"/>
    <w:rsid w:val="12E36BE9"/>
    <w:rsid w:val="13CA2B4E"/>
    <w:rsid w:val="15D942D4"/>
    <w:rsid w:val="189A4AC9"/>
    <w:rsid w:val="195A59BF"/>
    <w:rsid w:val="1A1667EC"/>
    <w:rsid w:val="1A9F551B"/>
    <w:rsid w:val="1AD27C6F"/>
    <w:rsid w:val="1C307CA7"/>
    <w:rsid w:val="1D09144A"/>
    <w:rsid w:val="1D431C97"/>
    <w:rsid w:val="1E504BF2"/>
    <w:rsid w:val="1F4F4772"/>
    <w:rsid w:val="1F762BAF"/>
    <w:rsid w:val="1FFA13CA"/>
    <w:rsid w:val="20375FAB"/>
    <w:rsid w:val="20672782"/>
    <w:rsid w:val="219E3794"/>
    <w:rsid w:val="22463DDE"/>
    <w:rsid w:val="23991047"/>
    <w:rsid w:val="23B107E7"/>
    <w:rsid w:val="23B940CE"/>
    <w:rsid w:val="242F1397"/>
    <w:rsid w:val="2604714B"/>
    <w:rsid w:val="26680B0E"/>
    <w:rsid w:val="276607BD"/>
    <w:rsid w:val="2A85768A"/>
    <w:rsid w:val="2BC2788C"/>
    <w:rsid w:val="2D5072C9"/>
    <w:rsid w:val="2ED43E1F"/>
    <w:rsid w:val="2EF61F5F"/>
    <w:rsid w:val="2F204D2F"/>
    <w:rsid w:val="30280776"/>
    <w:rsid w:val="30D8752B"/>
    <w:rsid w:val="33020A40"/>
    <w:rsid w:val="347270AC"/>
    <w:rsid w:val="359C73A0"/>
    <w:rsid w:val="36160F00"/>
    <w:rsid w:val="397B56DC"/>
    <w:rsid w:val="3A5A5133"/>
    <w:rsid w:val="3BC02155"/>
    <w:rsid w:val="3BF7E6BF"/>
    <w:rsid w:val="3C4538F8"/>
    <w:rsid w:val="3CD975B2"/>
    <w:rsid w:val="3D7D1865"/>
    <w:rsid w:val="3ED27DBD"/>
    <w:rsid w:val="3FCF72B9"/>
    <w:rsid w:val="40504E9C"/>
    <w:rsid w:val="4185378C"/>
    <w:rsid w:val="436879E0"/>
    <w:rsid w:val="45A06791"/>
    <w:rsid w:val="47791038"/>
    <w:rsid w:val="496714D0"/>
    <w:rsid w:val="49ED0155"/>
    <w:rsid w:val="4B9A1970"/>
    <w:rsid w:val="4B9A22C6"/>
    <w:rsid w:val="4D47054C"/>
    <w:rsid w:val="4E175B2C"/>
    <w:rsid w:val="4FDF2564"/>
    <w:rsid w:val="50571C9F"/>
    <w:rsid w:val="50AB003F"/>
    <w:rsid w:val="519F04A1"/>
    <w:rsid w:val="52353A0A"/>
    <w:rsid w:val="560E14B9"/>
    <w:rsid w:val="597D2244"/>
    <w:rsid w:val="5A0D30B4"/>
    <w:rsid w:val="5B3429A4"/>
    <w:rsid w:val="5C146507"/>
    <w:rsid w:val="5C9D087A"/>
    <w:rsid w:val="5D35760E"/>
    <w:rsid w:val="5D5840D6"/>
    <w:rsid w:val="5E2273D9"/>
    <w:rsid w:val="5F200A95"/>
    <w:rsid w:val="5FF76E46"/>
    <w:rsid w:val="619135C2"/>
    <w:rsid w:val="62D04AAA"/>
    <w:rsid w:val="64126E1E"/>
    <w:rsid w:val="64C611F6"/>
    <w:rsid w:val="65F77B57"/>
    <w:rsid w:val="65FF3AA9"/>
    <w:rsid w:val="660F3D1F"/>
    <w:rsid w:val="66152ACA"/>
    <w:rsid w:val="68B44D24"/>
    <w:rsid w:val="6A28076F"/>
    <w:rsid w:val="6BDF6CC4"/>
    <w:rsid w:val="6CFC2C49"/>
    <w:rsid w:val="6DB5058A"/>
    <w:rsid w:val="70905002"/>
    <w:rsid w:val="70BB7C71"/>
    <w:rsid w:val="71B400B8"/>
    <w:rsid w:val="72EF1566"/>
    <w:rsid w:val="73412F53"/>
    <w:rsid w:val="747947EB"/>
    <w:rsid w:val="748443E4"/>
    <w:rsid w:val="74F952E5"/>
    <w:rsid w:val="75483F2B"/>
    <w:rsid w:val="75A628C9"/>
    <w:rsid w:val="75B36462"/>
    <w:rsid w:val="76B27622"/>
    <w:rsid w:val="780A371A"/>
    <w:rsid w:val="784521A0"/>
    <w:rsid w:val="788D1579"/>
    <w:rsid w:val="7A6F2A3A"/>
    <w:rsid w:val="7BBB15F0"/>
    <w:rsid w:val="7C07A0F5"/>
    <w:rsid w:val="7D460711"/>
    <w:rsid w:val="7D717185"/>
    <w:rsid w:val="7D7635FF"/>
    <w:rsid w:val="7E172803"/>
    <w:rsid w:val="7F207CC7"/>
    <w:rsid w:val="7F52447F"/>
    <w:rsid w:val="ADB3EDF9"/>
    <w:rsid w:val="B59DAF38"/>
    <w:rsid w:val="BFBAAF01"/>
    <w:rsid w:val="D6FDEFC2"/>
    <w:rsid w:val="DFDE7D33"/>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GB"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rPr>
  </w:style>
  <w:style w:type="paragraph" w:styleId="3">
    <w:name w:val="header"/>
    <w:basedOn w:val="1"/>
    <w:link w:val="11"/>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rPr>
  </w:style>
  <w:style w:type="paragraph" w:styleId="4">
    <w:name w:val="Normal (Web)"/>
    <w:basedOn w:val="1"/>
    <w:unhideWhenUsed/>
    <w:qFormat/>
    <w:uiPriority w:val="99"/>
    <w:pPr>
      <w:spacing w:before="100" w:beforeAutospacing="1" w:after="100" w:afterAutospacing="1"/>
    </w:pPr>
    <w:rPr>
      <w:rFonts w:ascii="宋体" w:hAnsi="宋体" w:eastAsia="宋体" w:cs="宋体"/>
    </w:rPr>
  </w:style>
  <w:style w:type="character" w:styleId="7">
    <w:name w:val="Strong"/>
    <w:qFormat/>
    <w:uiPriority w:val="0"/>
    <w:rPr>
      <w:b/>
      <w:bCs/>
    </w:rPr>
  </w:style>
  <w:style w:type="character" w:styleId="8">
    <w:name w:val="FollowedHyperlink"/>
    <w:basedOn w:val="6"/>
    <w:semiHidden/>
    <w:unhideWhenUsed/>
    <w:qFormat/>
    <w:uiPriority w:val="99"/>
    <w:rPr>
      <w:color w:val="954F72" w:themeColor="followedHyperlink"/>
      <w:u w:val="single"/>
      <w14:textFill>
        <w14:solidFill>
          <w14:schemeClr w14:val="folHlink"/>
        </w14:solidFill>
      </w14:textFill>
    </w:rPr>
  </w:style>
  <w:style w:type="character" w:styleId="9">
    <w:name w:val="Emphasis"/>
    <w:basedOn w:val="6"/>
    <w:qFormat/>
    <w:uiPriority w:val="20"/>
    <w:rPr>
      <w:i/>
      <w:iCs/>
    </w:rPr>
  </w:style>
  <w:style w:type="character" w:styleId="10">
    <w:name w:val="Hyperlink"/>
    <w:basedOn w:val="6"/>
    <w:unhideWhenUsed/>
    <w:qFormat/>
    <w:uiPriority w:val="99"/>
    <w:rPr>
      <w:color w:val="0563C1" w:themeColor="hyperlink"/>
      <w:u w:val="single"/>
      <w14:textFill>
        <w14:solidFill>
          <w14:schemeClr w14:val="hlink"/>
        </w14:solidFill>
      </w14:textFill>
    </w:rPr>
  </w:style>
  <w:style w:type="character" w:customStyle="1" w:styleId="11">
    <w:name w:val="页眉 字符"/>
    <w:basedOn w:val="6"/>
    <w:link w:val="3"/>
    <w:qFormat/>
    <w:uiPriority w:val="99"/>
    <w:rPr>
      <w:sz w:val="18"/>
      <w:szCs w:val="18"/>
    </w:rPr>
  </w:style>
  <w:style w:type="character" w:customStyle="1" w:styleId="12">
    <w:name w:val="页脚 字符"/>
    <w:basedOn w:val="6"/>
    <w:link w:val="2"/>
    <w:qFormat/>
    <w:uiPriority w:val="99"/>
    <w:rPr>
      <w:sz w:val="18"/>
      <w:szCs w:val="18"/>
    </w:rPr>
  </w:style>
  <w:style w:type="character" w:customStyle="1" w:styleId="13">
    <w:name w:val="未处理的提及1"/>
    <w:basedOn w:val="6"/>
    <w:semiHidden/>
    <w:unhideWhenUsed/>
    <w:qFormat/>
    <w:uiPriority w:val="99"/>
    <w:rPr>
      <w:color w:val="605E5C"/>
      <w:shd w:val="clear" w:color="auto" w:fill="E1DFDD"/>
    </w:rPr>
  </w:style>
  <w:style w:type="paragraph" w:styleId="14">
    <w:name w:val="List Paragraph"/>
    <w:basedOn w:val="1"/>
    <w:qFormat/>
    <w:uiPriority w:val="34"/>
    <w:pPr>
      <w:ind w:firstLine="420" w:firstLineChars="200"/>
    </w:pPr>
  </w:style>
  <w:style w:type="character" w:customStyle="1" w:styleId="15">
    <w:name w:val="未处理的提及2"/>
    <w:basedOn w:val="6"/>
    <w:semiHidden/>
    <w:unhideWhenUsed/>
    <w:qFormat/>
    <w:uiPriority w:val="99"/>
    <w:rPr>
      <w:color w:val="605E5C"/>
      <w:shd w:val="clear" w:color="auto" w:fill="E1DFDD"/>
    </w:rPr>
  </w:style>
  <w:style w:type="character" w:customStyle="1" w:styleId="16">
    <w:name w:val="Unresolved Mention"/>
    <w:basedOn w:val="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223</Words>
  <Characters>224</Characters>
  <Lines>16</Lines>
  <Paragraphs>4</Paragraphs>
  <TotalTime>26</TotalTime>
  <ScaleCrop>false</ScaleCrop>
  <LinksUpToDate>false</LinksUpToDate>
  <CharactersWithSpaces>224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2022-12-31T13:38:00Z</dcterms:created>
  <dc:creator>张 斌</dc:creator>
  <cp:lastModifiedBy>郭嘉丽</cp:lastModifiedBy>
  <cp:lastPrinted>2023-01-11T03:09:00Z</cp:lastPrinted>
  <dcterms:modified xsi:type="dcterms:W3CDTF">2026-05-13T03:02:54Z</dcterms:modified>
  <cp:revision>137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395748A3EB8C4BBB9A7B0BDBD685C7F0_13</vt:lpwstr>
  </property>
  <property fmtid="{D5CDD505-2E9C-101B-9397-08002B2CF9AE}" pid="4" name="KSOTemplateDocerSaveRecord">
    <vt:lpwstr>eyJoZGlkIjoiNjM2NTAxZWE1M2Q4OGNkODAxM2NmNjRlZWVlMDI4MDMiLCJ1c2VySWQiOiIxNzU4MTUyMjI0In0=</vt:lpwstr>
  </property>
</Properties>
</file>