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djustRightInd/>
        <w:spacing w:before="55" w:line="218" w:lineRule="auto"/>
        <w:jc w:val="center"/>
        <w:rPr>
          <w:rFonts w:ascii="仿宋" w:hAnsi="仿宋" w:eastAsia="仿宋" w:cs="仿宋"/>
          <w:b/>
          <w:color w:val="auto"/>
          <w:sz w:val="24"/>
          <w:szCs w:val="24"/>
        </w:rPr>
      </w:pPr>
      <w:r>
        <w:rPr>
          <w:rFonts w:hint="eastAsia" w:ascii="仿宋" w:hAnsi="仿宋" w:eastAsia="仿宋" w:cs="仿宋"/>
          <w:b/>
          <w:color w:val="auto"/>
          <w:sz w:val="32"/>
          <w:szCs w:val="24"/>
        </w:rPr>
        <w:t>工商管理学院本科学生综合素质测评实施细则</w:t>
      </w:r>
    </w:p>
    <w:p>
      <w:pPr>
        <w:kinsoku/>
        <w:adjustRightInd/>
        <w:spacing w:line="272" w:lineRule="auto"/>
        <w:jc w:val="both"/>
        <w:rPr>
          <w:rFonts w:ascii="仿宋" w:hAnsi="仿宋" w:eastAsia="仿宋" w:cs="仿宋"/>
          <w:color w:val="auto"/>
          <w:sz w:val="24"/>
          <w:szCs w:val="24"/>
        </w:rPr>
      </w:pPr>
    </w:p>
    <w:p>
      <w:pPr>
        <w:kinsoku/>
        <w:adjustRightInd/>
        <w:spacing w:line="273" w:lineRule="auto"/>
        <w:jc w:val="both"/>
        <w:rPr>
          <w:rFonts w:ascii="仿宋" w:hAnsi="仿宋" w:eastAsia="仿宋" w:cs="仿宋"/>
          <w:color w:val="auto"/>
          <w:sz w:val="24"/>
          <w:szCs w:val="24"/>
        </w:rPr>
      </w:pPr>
    </w:p>
    <w:p>
      <w:pPr>
        <w:kinsoku/>
        <w:adjustRightInd/>
        <w:spacing w:before="78" w:line="219" w:lineRule="auto"/>
        <w:ind w:firstLine="3336"/>
        <w:jc w:val="both"/>
        <w:rPr>
          <w:rFonts w:ascii="仿宋" w:hAnsi="仿宋" w:eastAsia="仿宋" w:cs="仿宋"/>
          <w:b/>
          <w:color w:val="auto"/>
          <w:sz w:val="24"/>
          <w:szCs w:val="24"/>
        </w:rPr>
      </w:pPr>
      <w:r>
        <w:rPr>
          <w:rFonts w:hint="eastAsia" w:ascii="仿宋" w:hAnsi="仿宋" w:eastAsia="仿宋" w:cs="仿宋"/>
          <w:b/>
          <w:color w:val="auto"/>
          <w:sz w:val="24"/>
          <w:szCs w:val="24"/>
        </w:rPr>
        <w:t>第一章  总  则</w:t>
      </w:r>
    </w:p>
    <w:p>
      <w:pPr>
        <w:kinsoku/>
        <w:adjustRightInd/>
        <w:spacing w:line="266" w:lineRule="auto"/>
        <w:jc w:val="both"/>
        <w:rPr>
          <w:rFonts w:ascii="仿宋" w:hAnsi="仿宋" w:eastAsia="仿宋" w:cs="仿宋"/>
          <w:b/>
          <w:color w:val="auto"/>
          <w:sz w:val="24"/>
          <w:szCs w:val="24"/>
        </w:rPr>
      </w:pPr>
    </w:p>
    <w:p>
      <w:pPr>
        <w:kinsoku/>
        <w:adjustRightInd/>
        <w:spacing w:line="400" w:lineRule="exact"/>
        <w:ind w:left="22" w:right="150" w:firstLine="486"/>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第一条 </w:t>
      </w:r>
      <w:r>
        <w:rPr>
          <w:rFonts w:hint="eastAsia" w:ascii="仿宋" w:hAnsi="仿宋" w:eastAsia="仿宋" w:cs="仿宋"/>
          <w:color w:val="auto"/>
          <w:sz w:val="24"/>
          <w:szCs w:val="24"/>
        </w:rPr>
        <w:t>为了全面贯彻党的教育方针，进一步推进素质教育，鼓励学生争取优秀、发展特长、开拓创新，引导学生在知识、能力、素质诸方面协调发展，培养适应社会主义现代化建设要求的高素质创新人才，工商管理学院根据《首都经济贸易大学本专科学生综合测评办法》特制学院实施细则。</w:t>
      </w:r>
    </w:p>
    <w:p>
      <w:pPr>
        <w:kinsoku/>
        <w:adjustRightInd/>
        <w:spacing w:line="400" w:lineRule="exact"/>
        <w:ind w:left="24" w:right="148" w:firstLine="484"/>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第二条 </w:t>
      </w:r>
      <w:r>
        <w:rPr>
          <w:rFonts w:hint="eastAsia" w:ascii="仿宋" w:hAnsi="仿宋" w:eastAsia="仿宋" w:cs="仿宋"/>
          <w:color w:val="auto"/>
          <w:sz w:val="24"/>
          <w:szCs w:val="24"/>
        </w:rPr>
        <w:t>综合测评办法是学院对学生进行综合评定的统一性执行标准。凡在本校注册并参加全日制学习的普通本科生，均应依据本办法以班级为单位进行测评。</w:t>
      </w:r>
    </w:p>
    <w:p>
      <w:pPr>
        <w:kinsoku/>
        <w:adjustRightInd/>
        <w:spacing w:line="400" w:lineRule="exact"/>
        <w:ind w:left="26" w:firstLine="483"/>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第三条 </w:t>
      </w:r>
      <w:r>
        <w:rPr>
          <w:rFonts w:hint="eastAsia" w:ascii="仿宋" w:hAnsi="仿宋" w:eastAsia="仿宋" w:cs="仿宋"/>
          <w:color w:val="auto"/>
          <w:sz w:val="24"/>
          <w:szCs w:val="24"/>
        </w:rPr>
        <w:t>综合测评按学年进行，每年9月份开展对在校生（一年级学生除外）的综合测评工作。每班成立由班主任、团支部和班委会干部、学生代表组成的班级测评小组；由学生本人进行总结并自评计算得分，经班级测评小组评议和核查后，报学院审核。</w:t>
      </w:r>
    </w:p>
    <w:p>
      <w:pPr>
        <w:kinsoku/>
        <w:adjustRightInd/>
        <w:spacing w:line="400" w:lineRule="exact"/>
        <w:ind w:left="28" w:right="151" w:firstLine="480"/>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第四条 </w:t>
      </w:r>
      <w:r>
        <w:rPr>
          <w:rFonts w:hint="eastAsia" w:ascii="仿宋" w:hAnsi="仿宋" w:eastAsia="仿宋" w:cs="仿宋"/>
          <w:color w:val="auto"/>
          <w:sz w:val="24"/>
          <w:szCs w:val="24"/>
        </w:rPr>
        <w:t>综合测评的结果，作为评定奖学金、评优、推荐免试研究生，以及毕业时向用人单位推荐的重要依据。</w:t>
      </w:r>
    </w:p>
    <w:p>
      <w:pPr>
        <w:kinsoku/>
        <w:adjustRightInd/>
        <w:spacing w:line="400" w:lineRule="exact"/>
        <w:ind w:firstLine="2616"/>
        <w:jc w:val="both"/>
        <w:rPr>
          <w:rFonts w:ascii="仿宋" w:hAnsi="仿宋" w:eastAsia="仿宋" w:cs="仿宋"/>
          <w:color w:val="auto"/>
          <w:sz w:val="24"/>
          <w:szCs w:val="24"/>
        </w:rPr>
      </w:pPr>
    </w:p>
    <w:p>
      <w:pPr>
        <w:numPr>
          <w:ilvl w:val="0"/>
          <w:numId w:val="1"/>
        </w:numPr>
        <w:kinsoku/>
        <w:adjustRightInd/>
        <w:spacing w:line="400" w:lineRule="exact"/>
        <w:ind w:firstLine="2616"/>
        <w:jc w:val="center"/>
        <w:rPr>
          <w:rFonts w:ascii="仿宋" w:hAnsi="仿宋" w:eastAsia="仿宋" w:cs="仿宋"/>
          <w:b/>
          <w:color w:val="auto"/>
          <w:sz w:val="24"/>
          <w:szCs w:val="24"/>
        </w:rPr>
      </w:pPr>
      <w:r>
        <w:rPr>
          <w:rFonts w:hint="eastAsia" w:ascii="仿宋" w:hAnsi="仿宋" w:eastAsia="仿宋" w:cs="仿宋"/>
          <w:b/>
          <w:color w:val="auto"/>
          <w:sz w:val="24"/>
          <w:szCs w:val="24"/>
        </w:rPr>
        <w:t>指标体系及计算方法</w:t>
      </w:r>
    </w:p>
    <w:p>
      <w:pPr>
        <w:kinsoku/>
        <w:adjustRightInd/>
        <w:spacing w:line="400" w:lineRule="exact"/>
        <w:jc w:val="both"/>
        <w:rPr>
          <w:rFonts w:ascii="仿宋" w:hAnsi="仿宋" w:eastAsia="仿宋" w:cs="仿宋"/>
          <w:color w:val="auto"/>
          <w:sz w:val="24"/>
          <w:szCs w:val="24"/>
        </w:rPr>
      </w:pPr>
    </w:p>
    <w:p>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第八条 </w:t>
      </w:r>
      <w:r>
        <w:rPr>
          <w:rFonts w:hint="eastAsia" w:ascii="仿宋" w:hAnsi="仿宋" w:eastAsia="仿宋" w:cs="仿宋"/>
          <w:color w:val="auto"/>
          <w:sz w:val="24"/>
          <w:szCs w:val="24"/>
        </w:rPr>
        <w:t>综合测评成绩为基础性素质测评成绩与发展性素质测评成绩之和。</w:t>
      </w:r>
    </w:p>
    <w:p>
      <w:pPr>
        <w:kinsoku/>
        <w:adjustRightInd/>
        <w:spacing w:line="400" w:lineRule="exact"/>
        <w:ind w:left="24" w:right="150" w:firstLine="484"/>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第九条 </w:t>
      </w:r>
      <w:r>
        <w:rPr>
          <w:rFonts w:hint="eastAsia" w:ascii="仿宋" w:hAnsi="仿宋" w:eastAsia="仿宋" w:cs="仿宋"/>
          <w:color w:val="auto"/>
          <w:sz w:val="24"/>
          <w:szCs w:val="24"/>
        </w:rPr>
        <w:t>基础性素质是指学生在学校规定的教学和第二课堂中形成的德、智、体等方面的一般性素质；发展性素质是指学生在学校教育过程中形成的体现创造性和实践性的素质。</w:t>
      </w:r>
    </w:p>
    <w:p>
      <w:pPr>
        <w:kinsoku/>
        <w:adjustRightInd/>
        <w:spacing w:line="400" w:lineRule="exact"/>
        <w:ind w:left="23" w:right="403" w:firstLine="486"/>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第十条 </w:t>
      </w:r>
      <w:r>
        <w:rPr>
          <w:rFonts w:hint="eastAsia" w:ascii="仿宋" w:hAnsi="仿宋" w:eastAsia="仿宋" w:cs="仿宋"/>
          <w:color w:val="auto"/>
          <w:sz w:val="24"/>
          <w:szCs w:val="24"/>
        </w:rPr>
        <w:t>基础性素质包括思想品德、学习成绩、身心素质三个一级指标；基础性素质成绩=思想品德成绩×0.2+学习成绩×0.7+身心素质成绩×0.1</w:t>
      </w:r>
    </w:p>
    <w:p>
      <w:pPr>
        <w:keepNext w:val="0"/>
        <w:keepLines w:val="0"/>
        <w:pageBreakBefore w:val="0"/>
        <w:widowControl/>
        <w:kinsoku/>
        <w:wordWrap/>
        <w:overflowPunct/>
        <w:topLinePunct w:val="0"/>
        <w:autoSpaceDE w:val="0"/>
        <w:autoSpaceDN w:val="0"/>
        <w:bidi w:val="0"/>
        <w:adjustRightInd/>
        <w:snapToGrid w:val="0"/>
        <w:spacing w:line="240" w:lineRule="auto"/>
        <w:ind w:firstLine="509"/>
        <w:jc w:val="both"/>
        <w:textAlignment w:val="baseline"/>
        <w:outlineLvl w:val="9"/>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第十一条“思想品德”素质测评</w:t>
      </w:r>
    </w:p>
    <w:p>
      <w:pPr>
        <w:keepNext w:val="0"/>
        <w:keepLines w:val="0"/>
        <w:pageBreakBefore w:val="0"/>
        <w:widowControl/>
        <w:kinsoku/>
        <w:wordWrap/>
        <w:overflowPunct/>
        <w:topLinePunct w:val="0"/>
        <w:autoSpaceDE w:val="0"/>
        <w:autoSpaceDN w:val="0"/>
        <w:bidi w:val="0"/>
        <w:adjustRightInd/>
        <w:snapToGrid w:val="0"/>
        <w:spacing w:line="240" w:lineRule="auto"/>
        <w:ind w:firstLine="466"/>
        <w:jc w:val="both"/>
        <w:textAlignment w:val="baseline"/>
        <w:outlineLvl w:val="9"/>
        <w:rPr>
          <w:rFonts w:ascii="仿宋" w:hAnsi="仿宋" w:eastAsia="仿宋" w:cs="仿宋"/>
          <w:color w:val="auto"/>
          <w:sz w:val="24"/>
          <w:szCs w:val="24"/>
        </w:rPr>
      </w:pPr>
      <w:r>
        <w:rPr>
          <w:rFonts w:hint="eastAsia" w:ascii="仿宋" w:hAnsi="仿宋" w:eastAsia="仿宋" w:cs="仿宋"/>
          <w:color w:val="auto"/>
          <w:sz w:val="24"/>
          <w:szCs w:val="24"/>
        </w:rPr>
        <w:t>（一）测评项目及基本要求</w:t>
      </w:r>
    </w:p>
    <w:p>
      <w:pPr>
        <w:keepNext w:val="0"/>
        <w:keepLines w:val="0"/>
        <w:pageBreakBefore w:val="0"/>
        <w:widowControl/>
        <w:kinsoku/>
        <w:wordWrap/>
        <w:overflowPunct/>
        <w:topLinePunct w:val="0"/>
        <w:autoSpaceDE w:val="0"/>
        <w:autoSpaceDN w:val="0"/>
        <w:bidi w:val="0"/>
        <w:adjustRightInd/>
        <w:snapToGrid w:val="0"/>
        <w:spacing w:line="240" w:lineRule="auto"/>
        <w:ind w:left="26" w:right="151" w:firstLine="479"/>
        <w:jc w:val="both"/>
        <w:textAlignment w:val="baseline"/>
        <w:outlineLvl w:val="9"/>
        <w:rPr>
          <w:rFonts w:ascii="仿宋" w:hAnsi="仿宋" w:eastAsia="仿宋" w:cs="仿宋"/>
          <w:color w:val="auto"/>
          <w:sz w:val="24"/>
          <w:szCs w:val="24"/>
        </w:rPr>
      </w:pPr>
      <w:r>
        <w:rPr>
          <w:rFonts w:hint="eastAsia" w:ascii="仿宋" w:hAnsi="仿宋" w:eastAsia="仿宋" w:cs="仿宋"/>
          <w:color w:val="auto"/>
          <w:sz w:val="24"/>
          <w:szCs w:val="24"/>
        </w:rPr>
        <w:t>测评内容由五个方面组成：政治思想、道德品质、集体观念、遵纪守法、社会活动。</w:t>
      </w:r>
    </w:p>
    <w:p>
      <w:pPr>
        <w:kinsoku/>
        <w:adjustRightInd/>
        <w:spacing w:line="400" w:lineRule="exact"/>
        <w:ind w:left="24" w:right="150" w:firstLine="484"/>
        <w:jc w:val="both"/>
        <w:rPr>
          <w:rFonts w:ascii="仿宋" w:hAnsi="仿宋" w:eastAsia="仿宋" w:cs="仿宋"/>
          <w:color w:val="auto"/>
          <w:sz w:val="24"/>
          <w:szCs w:val="24"/>
        </w:rPr>
      </w:pPr>
      <w:r>
        <w:rPr>
          <w:rFonts w:hint="eastAsia" w:ascii="仿宋" w:hAnsi="仿宋" w:eastAsia="仿宋" w:cs="仿宋"/>
          <w:color w:val="auto"/>
          <w:sz w:val="24"/>
          <w:szCs w:val="24"/>
        </w:rPr>
        <w:t>1.政治思想：热爱祖国，正确理解党和国家的各项方针政策，关心国家大事，努力要求上进，有是非观念，无政治性错误。本项满分20分，好（20分），一般（15分），及格（10分），不及格（0分）。</w:t>
      </w:r>
    </w:p>
    <w:p>
      <w:pPr>
        <w:kinsoku/>
        <w:adjustRightInd/>
        <w:spacing w:line="400" w:lineRule="exact"/>
        <w:ind w:left="24" w:right="150" w:firstLine="484"/>
        <w:jc w:val="both"/>
        <w:rPr>
          <w:rFonts w:ascii="仿宋" w:hAnsi="仿宋" w:eastAsia="仿宋" w:cs="仿宋"/>
          <w:color w:val="auto"/>
          <w:sz w:val="24"/>
          <w:szCs w:val="24"/>
        </w:rPr>
      </w:pPr>
      <w:r>
        <w:rPr>
          <w:rFonts w:hint="eastAsia" w:ascii="仿宋" w:hAnsi="仿宋" w:eastAsia="仿宋" w:cs="仿宋"/>
          <w:color w:val="auto"/>
          <w:sz w:val="24"/>
          <w:szCs w:val="24"/>
        </w:rPr>
        <w:t>2.道德品质：有良好的文明、礼貌习惯，遵守社会公德，尊敬师长，为人正派，诚实守信，团结、关心、帮助同学，乐于为同学服务，注意节约，爱护公物，无严重违反道德行为。本项满分20分，好（20分），一般（15分），及格（10分），不及格（0分）。</w:t>
      </w:r>
    </w:p>
    <w:p>
      <w:pPr>
        <w:kinsoku/>
        <w:adjustRightInd/>
        <w:spacing w:line="400" w:lineRule="exact"/>
        <w:ind w:left="24" w:right="150" w:firstLine="484"/>
        <w:jc w:val="both"/>
        <w:rPr>
          <w:rFonts w:ascii="仿宋" w:hAnsi="仿宋" w:eastAsia="仿宋" w:cs="仿宋"/>
          <w:color w:val="auto"/>
          <w:sz w:val="24"/>
          <w:szCs w:val="24"/>
        </w:rPr>
      </w:pPr>
      <w:r>
        <w:rPr>
          <w:rFonts w:hint="eastAsia" w:ascii="仿宋" w:hAnsi="仿宋" w:eastAsia="仿宋" w:cs="仿宋"/>
          <w:color w:val="auto"/>
          <w:sz w:val="24"/>
          <w:szCs w:val="24"/>
        </w:rPr>
        <w:t>3.集体观念：有集体观念和集体荣誉感，正确处理集体与个人的关系，有全局观念，愿意为同学服务，积极参加各项集体活动，服从集体安排，认真完成组织布置的任务。本项满分20分，好（20分），一般（15分），及格（10分），不及格（0分）。</w:t>
      </w:r>
    </w:p>
    <w:p>
      <w:pPr>
        <w:kinsoku/>
        <w:adjustRightInd/>
        <w:spacing w:line="400" w:lineRule="exact"/>
        <w:ind w:left="24" w:right="150" w:firstLine="484"/>
        <w:jc w:val="both"/>
        <w:rPr>
          <w:rFonts w:ascii="仿宋" w:hAnsi="仿宋" w:eastAsia="仿宋" w:cs="仿宋"/>
          <w:color w:val="auto"/>
          <w:sz w:val="24"/>
          <w:szCs w:val="24"/>
        </w:rPr>
      </w:pPr>
      <w:r>
        <w:rPr>
          <w:rFonts w:hint="eastAsia" w:ascii="仿宋" w:hAnsi="仿宋" w:eastAsia="仿宋" w:cs="仿宋"/>
          <w:color w:val="auto"/>
          <w:sz w:val="24"/>
          <w:szCs w:val="24"/>
        </w:rPr>
        <w:t>4.遵纪守法：有法制观念和纪律观念，遵守国家法律和学校规章制度，无违法和违纪行为。本项满分20分，无违法、违纪行为（20分），有违法、违纪行为（0分）。</w:t>
      </w:r>
    </w:p>
    <w:p>
      <w:pPr>
        <w:kinsoku/>
        <w:adjustRightInd/>
        <w:spacing w:line="400" w:lineRule="exact"/>
        <w:ind w:left="24" w:right="150" w:firstLine="484"/>
        <w:jc w:val="both"/>
        <w:rPr>
          <w:rFonts w:hint="eastAsia" w:ascii="仿宋" w:hAnsi="仿宋" w:eastAsia="仿宋" w:cs="仿宋"/>
          <w:color w:val="auto"/>
          <w:sz w:val="24"/>
          <w:szCs w:val="24"/>
          <w:lang w:eastAsia="zh-Hans"/>
        </w:rPr>
      </w:pPr>
      <w:r>
        <w:rPr>
          <w:rFonts w:hint="eastAsia" w:ascii="仿宋" w:hAnsi="仿宋" w:eastAsia="仿宋" w:cs="仿宋"/>
          <w:color w:val="auto"/>
          <w:sz w:val="24"/>
          <w:szCs w:val="24"/>
        </w:rPr>
        <w:t>5.社会活动：</w:t>
      </w:r>
      <w:r>
        <w:rPr>
          <w:rFonts w:hint="eastAsia" w:ascii="仿宋" w:hAnsi="仿宋" w:eastAsia="仿宋" w:cs="仿宋"/>
          <w:color w:val="auto"/>
          <w:sz w:val="24"/>
          <w:szCs w:val="24"/>
          <w:lang w:eastAsia="zh-Hans"/>
        </w:rPr>
        <w:t>在社会实践、教学学习、军训、义务劳动、社会公益活动和校、院（系）组织的重要活动中的表现。在各项活动中，遵守有关规定，努力锻炼。积极参加志愿活动，态度端正，不计较个人得失，听从安排，认真完成所交给的工作任务。</w:t>
      </w:r>
    </w:p>
    <w:p>
      <w:pPr>
        <w:kinsoku/>
        <w:adjustRightInd/>
        <w:spacing w:line="400" w:lineRule="exact"/>
        <w:ind w:left="24" w:right="150" w:firstLine="484"/>
        <w:jc w:val="both"/>
        <w:rPr>
          <w:rFonts w:hint="eastAsia" w:ascii="仿宋" w:hAnsi="仿宋" w:eastAsia="仿宋" w:cs="仿宋"/>
          <w:color w:val="auto"/>
          <w:sz w:val="24"/>
          <w:szCs w:val="24"/>
          <w:lang w:eastAsia="zh-Hans"/>
        </w:rPr>
      </w:pPr>
      <w:r>
        <w:rPr>
          <w:rFonts w:hint="eastAsia" w:ascii="仿宋" w:hAnsi="仿宋" w:eastAsia="仿宋" w:cs="仿宋"/>
          <w:color w:val="auto"/>
          <w:sz w:val="24"/>
          <w:szCs w:val="24"/>
          <w:lang w:eastAsia="zh-Hans"/>
        </w:rPr>
        <w:t>班长、团支书、学委及院学生会副部长及以上（分团委、党支部建制参考学生会，班导生和班级助理参照以上标准）表现良好的加6分；</w:t>
      </w:r>
    </w:p>
    <w:p>
      <w:pPr>
        <w:kinsoku/>
        <w:adjustRightInd/>
        <w:spacing w:line="400" w:lineRule="exact"/>
        <w:ind w:left="24" w:right="150" w:firstLine="484"/>
        <w:jc w:val="both"/>
        <w:rPr>
          <w:rFonts w:hint="eastAsia" w:ascii="仿宋" w:hAnsi="仿宋" w:eastAsia="仿宋" w:cs="仿宋"/>
          <w:color w:val="auto"/>
          <w:sz w:val="24"/>
          <w:szCs w:val="24"/>
          <w:lang w:eastAsia="zh-Hans"/>
        </w:rPr>
      </w:pPr>
      <w:r>
        <w:rPr>
          <w:rFonts w:hint="eastAsia" w:ascii="仿宋" w:hAnsi="仿宋" w:eastAsia="仿宋" w:cs="仿宋"/>
          <w:color w:val="auto"/>
          <w:sz w:val="24"/>
          <w:szCs w:val="24"/>
          <w:lang w:eastAsia="zh-Hans"/>
        </w:rPr>
        <w:t>学生会干事及班级其他委员表现良好的加3分；</w:t>
      </w:r>
    </w:p>
    <w:p>
      <w:pPr>
        <w:kinsoku/>
        <w:adjustRightInd/>
        <w:spacing w:line="400" w:lineRule="exact"/>
        <w:ind w:left="24" w:right="150" w:firstLine="484"/>
        <w:jc w:val="both"/>
        <w:rPr>
          <w:rFonts w:hint="eastAsia" w:ascii="仿宋" w:hAnsi="仿宋" w:eastAsia="仿宋" w:cs="仿宋"/>
          <w:color w:val="auto"/>
          <w:sz w:val="24"/>
          <w:szCs w:val="24"/>
          <w:lang w:eastAsia="zh-Hans"/>
        </w:rPr>
      </w:pPr>
      <w:r>
        <w:rPr>
          <w:rFonts w:hint="eastAsia" w:ascii="仿宋" w:hAnsi="仿宋" w:eastAsia="仿宋" w:cs="仿宋"/>
          <w:color w:val="auto"/>
          <w:sz w:val="24"/>
          <w:szCs w:val="24"/>
          <w:lang w:eastAsia="zh-Hans"/>
        </w:rPr>
        <w:t>参与</w:t>
      </w:r>
      <w:r>
        <w:rPr>
          <w:rFonts w:hint="eastAsia" w:ascii="仿宋" w:hAnsi="仿宋" w:eastAsia="仿宋" w:cs="仿宋"/>
          <w:color w:val="auto"/>
          <w:sz w:val="24"/>
          <w:szCs w:val="24"/>
        </w:rPr>
        <w:t>学院</w:t>
      </w:r>
      <w:r>
        <w:rPr>
          <w:rFonts w:hint="eastAsia" w:ascii="仿宋" w:hAnsi="仿宋" w:eastAsia="仿宋" w:cs="仿宋"/>
          <w:color w:val="auto"/>
          <w:sz w:val="24"/>
          <w:szCs w:val="24"/>
          <w:lang w:eastAsia="zh-Hans"/>
        </w:rPr>
        <w:t>活动，每项四分，例如，</w:t>
      </w:r>
      <w:r>
        <w:rPr>
          <w:rFonts w:hint="eastAsia" w:ascii="仿宋" w:hAnsi="仿宋" w:eastAsia="仿宋" w:cs="仿宋"/>
          <w:color w:val="auto"/>
          <w:sz w:val="24"/>
          <w:szCs w:val="24"/>
          <w:highlight w:val="yellow"/>
          <w:lang w:eastAsia="zh-Hans"/>
        </w:rPr>
        <w:t>学院举办的文体</w:t>
      </w:r>
      <w:r>
        <w:rPr>
          <w:rFonts w:hint="eastAsia" w:ascii="仿宋" w:hAnsi="仿宋" w:eastAsia="仿宋" w:cs="仿宋"/>
          <w:color w:val="auto"/>
          <w:sz w:val="24"/>
          <w:szCs w:val="24"/>
          <w:lang w:eastAsia="zh-Hans"/>
        </w:rPr>
        <w:t>、心理、诚信等活动（与第二课堂相区别）；</w:t>
      </w:r>
    </w:p>
    <w:p>
      <w:pPr>
        <w:kinsoku/>
        <w:adjustRightInd/>
        <w:spacing w:line="400" w:lineRule="exact"/>
        <w:ind w:left="24" w:right="150" w:firstLine="484"/>
        <w:jc w:val="both"/>
        <w:rPr>
          <w:rFonts w:ascii="仿宋" w:hAnsi="仿宋" w:eastAsia="仿宋" w:cs="仿宋"/>
          <w:color w:val="auto"/>
          <w:sz w:val="24"/>
          <w:szCs w:val="24"/>
        </w:rPr>
      </w:pPr>
      <w:r>
        <w:rPr>
          <w:rFonts w:hint="eastAsia" w:ascii="仿宋" w:hAnsi="仿宋" w:eastAsia="仿宋" w:cs="仿宋"/>
          <w:color w:val="auto"/>
          <w:sz w:val="24"/>
          <w:szCs w:val="24"/>
          <w:lang w:eastAsia="zh-Hans"/>
        </w:rPr>
        <w:t>学年内志愿</w:t>
      </w:r>
      <w:r>
        <w:rPr>
          <w:rFonts w:hint="eastAsia" w:ascii="仿宋" w:hAnsi="仿宋" w:eastAsia="仿宋" w:cs="仿宋"/>
          <w:color w:val="auto"/>
          <w:sz w:val="24"/>
          <w:szCs w:val="24"/>
          <w:lang w:val="en-US" w:eastAsia="zh-Hans"/>
        </w:rPr>
        <w:t>活动</w:t>
      </w:r>
      <w:r>
        <w:rPr>
          <w:rFonts w:hint="eastAsia" w:ascii="仿宋" w:hAnsi="仿宋" w:eastAsia="仿宋" w:cs="仿宋"/>
          <w:color w:val="auto"/>
          <w:sz w:val="24"/>
          <w:szCs w:val="24"/>
          <w:lang w:eastAsia="zh-Hans"/>
        </w:rPr>
        <w:t>1分/</w:t>
      </w:r>
      <w:r>
        <w:rPr>
          <w:rFonts w:hint="eastAsia" w:ascii="仿宋" w:hAnsi="仿宋" w:eastAsia="仿宋" w:cs="仿宋"/>
          <w:color w:val="auto"/>
          <w:sz w:val="24"/>
          <w:szCs w:val="24"/>
          <w:lang w:val="en-US" w:eastAsia="zh-Hans"/>
        </w:rPr>
        <w:t>小时</w:t>
      </w:r>
      <w:r>
        <w:rPr>
          <w:rFonts w:hint="eastAsia" w:ascii="仿宋" w:hAnsi="仿宋" w:eastAsia="仿宋" w:cs="仿宋"/>
          <w:color w:val="auto"/>
          <w:sz w:val="24"/>
          <w:szCs w:val="24"/>
          <w:lang w:eastAsia="zh-Hans"/>
        </w:rPr>
        <w:t>，以志愿北京记录时长为准。</w:t>
      </w:r>
    </w:p>
    <w:p>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（二）计分方法</w:t>
      </w:r>
    </w:p>
    <w:p>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rPr>
        <w:t>每项满分20分，总分为100分。</w:t>
      </w:r>
    </w:p>
    <w:p>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（三）测评方法</w:t>
      </w:r>
    </w:p>
    <w:p>
      <w:pPr>
        <w:kinsoku/>
        <w:adjustRightInd/>
        <w:spacing w:line="400" w:lineRule="exact"/>
        <w:ind w:left="28" w:right="80" w:firstLine="479"/>
        <w:jc w:val="both"/>
        <w:rPr>
          <w:rFonts w:ascii="仿宋" w:hAnsi="仿宋" w:eastAsia="仿宋" w:cs="仿宋"/>
          <w:color w:val="auto"/>
          <w:sz w:val="24"/>
          <w:szCs w:val="24"/>
        </w:rPr>
      </w:pPr>
      <w:r>
        <w:rPr>
          <w:rFonts w:hint="eastAsia" w:ascii="仿宋" w:hAnsi="仿宋" w:eastAsia="仿宋" w:cs="仿宋"/>
          <w:color w:val="auto"/>
          <w:sz w:val="24"/>
          <w:szCs w:val="24"/>
        </w:rPr>
        <w:t>各班成立测评小组，成员由班级主要干部（如班长、团支书）、班导生以及经由选举产生的威信较高的同学代表组成，对测评结果进行审核。</w:t>
      </w:r>
    </w:p>
    <w:p>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第十二条“学习成绩”测评</w:t>
      </w:r>
    </w:p>
    <w:p>
      <w:pPr>
        <w:kinsoku/>
        <w:adjustRightInd/>
        <w:spacing w:line="400" w:lineRule="exact"/>
        <w:ind w:left="24" w:right="80" w:firstLine="441"/>
        <w:jc w:val="both"/>
        <w:rPr>
          <w:rFonts w:ascii="仿宋" w:hAnsi="仿宋" w:eastAsia="仿宋" w:cs="仿宋"/>
          <w:color w:val="auto"/>
          <w:sz w:val="24"/>
          <w:szCs w:val="24"/>
        </w:rPr>
      </w:pPr>
      <w:r>
        <w:rPr>
          <w:rFonts w:hint="eastAsia" w:ascii="仿宋" w:hAnsi="仿宋" w:eastAsia="仿宋" w:cs="仿宋"/>
          <w:color w:val="auto"/>
          <w:sz w:val="24"/>
          <w:szCs w:val="24"/>
        </w:rPr>
        <w:t>（一）课程学习成绩是指学生参加所修专业教学计划规定的必修课程、考查课程的学习及考核的成绩（</w:t>
      </w:r>
      <w:r>
        <w:rPr>
          <w:rFonts w:hint="eastAsia" w:ascii="仿宋" w:hAnsi="仿宋" w:eastAsia="仿宋" w:cs="仿宋"/>
          <w:color w:val="auto"/>
          <w:sz w:val="24"/>
          <w:szCs w:val="24"/>
          <w:lang w:eastAsia="zh-Hans"/>
        </w:rPr>
        <w:t>必修课、选修课、个性化、任选课</w:t>
      </w:r>
      <w:r>
        <w:rPr>
          <w:rFonts w:hint="eastAsia" w:ascii="仿宋" w:hAnsi="仿宋" w:eastAsia="仿宋" w:cs="仿宋"/>
          <w:color w:val="auto"/>
          <w:sz w:val="24"/>
          <w:szCs w:val="24"/>
        </w:rPr>
        <w:t>）。成绩评定均采用百分制记分，60分以上为及格，及格者才能取得该门课程的学分。若课程成绩评定为优、良、中、及格、不及格的，则分别换算为95、85、75、65分和50分。</w:t>
      </w:r>
    </w:p>
    <w:p>
      <w:pPr>
        <w:kinsoku/>
        <w:adjustRightInd/>
        <w:spacing w:line="400" w:lineRule="exact"/>
        <w:ind w:left="26" w:right="81" w:firstLine="439"/>
        <w:jc w:val="both"/>
        <w:rPr>
          <w:rFonts w:ascii="仿宋" w:hAnsi="仿宋" w:eastAsia="仿宋" w:cs="仿宋"/>
          <w:color w:val="auto"/>
          <w:sz w:val="24"/>
          <w:szCs w:val="24"/>
        </w:rPr>
      </w:pPr>
      <w:r>
        <w:rPr>
          <w:rFonts w:hint="eastAsia" w:ascii="仿宋" w:hAnsi="仿宋" w:eastAsia="仿宋" w:cs="仿宋"/>
          <w:color w:val="auto"/>
          <w:sz w:val="24"/>
          <w:szCs w:val="24"/>
        </w:rPr>
        <w:t>（二）根据学生在校期间所有考试及考查课程的成绩及门数按下面公式计算得出“学习成绩”分值。</w:t>
      </w:r>
    </w:p>
    <w:p>
      <w:pPr>
        <w:kinsoku/>
        <w:adjustRightInd/>
        <w:spacing w:line="400" w:lineRule="exact"/>
        <w:ind w:firstLine="2186"/>
        <w:jc w:val="both"/>
        <w:rPr>
          <w:rFonts w:ascii="仿宋" w:hAnsi="仿宋" w:eastAsia="仿宋" w:cs="仿宋"/>
          <w:color w:val="auto"/>
          <w:sz w:val="24"/>
          <w:szCs w:val="24"/>
        </w:rPr>
      </w:pPr>
      <w:r>
        <w:rPr>
          <w:rFonts w:hint="eastAsia" w:ascii="仿宋" w:hAnsi="仿宋" w:eastAsia="仿宋" w:cs="仿宋"/>
          <w:color w:val="auto"/>
          <w:sz w:val="24"/>
          <w:szCs w:val="24"/>
        </w:rPr>
        <w:t>Σ考试课程分数+Σ考查课程分数</w:t>
      </w:r>
    </w:p>
    <w:p>
      <w:pPr>
        <w:kinsoku/>
        <w:adjustRightInd/>
        <w:spacing w:line="400" w:lineRule="exact"/>
        <w:ind w:firstLine="512"/>
        <w:jc w:val="both"/>
        <w:rPr>
          <w:rFonts w:ascii="仿宋" w:hAnsi="仿宋" w:eastAsia="仿宋" w:cs="仿宋"/>
          <w:color w:val="auto"/>
          <w:sz w:val="24"/>
          <w:szCs w:val="24"/>
        </w:rPr>
      </w:pPr>
      <w:r>
        <w:rPr>
          <w:rFonts w:hint="eastAsia" w:ascii="仿宋" w:hAnsi="仿宋" w:eastAsia="仿宋" w:cs="仿宋"/>
          <w:color w:val="auto"/>
          <w:sz w:val="24"/>
          <w:szCs w:val="24"/>
        </w:rPr>
        <w:t>学习成绩=——————————————————————</w:t>
      </w:r>
    </w:p>
    <w:p>
      <w:pPr>
        <w:kinsoku/>
        <w:adjustRightInd/>
        <w:spacing w:line="400" w:lineRule="exact"/>
        <w:ind w:firstLine="2186"/>
        <w:jc w:val="both"/>
        <w:rPr>
          <w:rFonts w:ascii="仿宋" w:hAnsi="仿宋" w:eastAsia="仿宋" w:cs="仿宋"/>
          <w:color w:val="auto"/>
          <w:sz w:val="24"/>
          <w:szCs w:val="24"/>
        </w:rPr>
      </w:pPr>
      <w:r>
        <w:rPr>
          <w:rFonts w:hint="eastAsia" w:ascii="仿宋" w:hAnsi="仿宋" w:eastAsia="仿宋" w:cs="仿宋"/>
          <w:color w:val="auto"/>
          <w:sz w:val="24"/>
          <w:szCs w:val="24"/>
        </w:rPr>
        <w:t>Σ考试课程门次+Σ考查课程门次</w:t>
      </w:r>
    </w:p>
    <w:p>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第十三条“身心素质”测评</w:t>
      </w:r>
    </w:p>
    <w:p>
      <w:pPr>
        <w:kinsoku/>
        <w:adjustRightInd/>
        <w:spacing w:line="400" w:lineRule="exact"/>
        <w:ind w:left="35" w:right="81" w:firstLine="476"/>
        <w:jc w:val="both"/>
        <w:rPr>
          <w:rFonts w:ascii="仿宋" w:hAnsi="仿宋" w:eastAsia="仿宋" w:cs="仿宋"/>
          <w:color w:val="auto"/>
          <w:sz w:val="24"/>
          <w:szCs w:val="24"/>
        </w:rPr>
      </w:pPr>
      <w:r>
        <w:rPr>
          <w:rFonts w:hint="eastAsia" w:ascii="仿宋" w:hAnsi="仿宋" w:eastAsia="仿宋" w:cs="仿宋"/>
          <w:color w:val="auto"/>
          <w:sz w:val="24"/>
          <w:szCs w:val="24"/>
        </w:rPr>
        <w:t>身心素质主要考察学生的体育达标状况、体育锻炼状况、生活习惯状况、人际和谐状况以及心理调适能力等。</w:t>
      </w:r>
    </w:p>
    <w:p>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（一）测评项目</w:t>
      </w:r>
    </w:p>
    <w:p>
      <w:pPr>
        <w:kinsoku/>
        <w:adjustRightInd/>
        <w:spacing w:line="400" w:lineRule="exact"/>
        <w:ind w:left="26" w:right="84" w:firstLine="479"/>
        <w:jc w:val="both"/>
        <w:rPr>
          <w:rFonts w:ascii="仿宋" w:hAnsi="仿宋" w:eastAsia="仿宋" w:cs="仿宋"/>
          <w:color w:val="auto"/>
          <w:sz w:val="24"/>
          <w:szCs w:val="24"/>
        </w:rPr>
      </w:pPr>
      <w:r>
        <w:rPr>
          <w:rFonts w:hint="eastAsia" w:ascii="仿宋" w:hAnsi="仿宋" w:eastAsia="仿宋" w:cs="仿宋"/>
          <w:color w:val="auto"/>
          <w:sz w:val="24"/>
          <w:szCs w:val="24"/>
        </w:rPr>
        <w:t>测评内容由四方面组成：体育课成绩、体育达标、运动参与、心理健康与社会适应能力。</w:t>
      </w:r>
    </w:p>
    <w:p>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（二）计分方法</w:t>
      </w:r>
    </w:p>
    <w:p>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rPr>
        <w:t>总分为100分。</w:t>
      </w:r>
    </w:p>
    <w:p>
      <w:pPr>
        <w:kinsoku/>
        <w:adjustRightInd/>
        <w:spacing w:line="400" w:lineRule="exact"/>
        <w:ind w:firstLine="521"/>
        <w:jc w:val="both"/>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Hans"/>
        </w:rPr>
        <w:t>体</w:t>
      </w:r>
      <w:r>
        <w:rPr>
          <w:rFonts w:hint="eastAsia" w:ascii="仿宋" w:hAnsi="仿宋" w:eastAsia="仿宋" w:cs="仿宋"/>
          <w:color w:val="auto"/>
          <w:sz w:val="24"/>
          <w:szCs w:val="24"/>
        </w:rPr>
        <w:t>育课成绩：及格（含及格）以上为20分。</w:t>
      </w:r>
    </w:p>
    <w:p>
      <w:pPr>
        <w:kinsoku/>
        <w:adjustRightInd/>
        <w:spacing w:line="400" w:lineRule="exact"/>
        <w:ind w:firstLine="501"/>
        <w:jc w:val="both"/>
        <w:rPr>
          <w:rFonts w:ascii="仿宋" w:hAnsi="仿宋" w:eastAsia="仿宋" w:cs="仿宋"/>
          <w:color w:val="auto"/>
          <w:sz w:val="24"/>
          <w:szCs w:val="24"/>
        </w:rPr>
      </w:pPr>
      <w:r>
        <w:rPr>
          <w:rFonts w:hint="eastAsia" w:ascii="仿宋" w:hAnsi="仿宋" w:eastAsia="仿宋" w:cs="仿宋"/>
          <w:color w:val="auto"/>
          <w:sz w:val="24"/>
          <w:szCs w:val="24"/>
        </w:rPr>
        <w:t>2.体育达标：达标者为20分；未达标者0分。</w:t>
      </w:r>
    </w:p>
    <w:p>
      <w:pPr>
        <w:kinsoku/>
        <w:adjustRightInd/>
        <w:spacing w:line="400" w:lineRule="exact"/>
        <w:ind w:left="30" w:right="78" w:firstLine="474"/>
        <w:jc w:val="both"/>
        <w:rPr>
          <w:rFonts w:ascii="仿宋" w:hAnsi="仿宋" w:eastAsia="仿宋" w:cs="仿宋"/>
          <w:color w:val="auto"/>
          <w:sz w:val="24"/>
          <w:szCs w:val="24"/>
        </w:rPr>
      </w:pPr>
      <w:r>
        <w:rPr>
          <w:rFonts w:hint="eastAsia" w:ascii="仿宋" w:hAnsi="仿宋" w:eastAsia="仿宋" w:cs="仿宋"/>
          <w:color w:val="auto"/>
          <w:sz w:val="24"/>
          <w:szCs w:val="24"/>
        </w:rPr>
        <w:t>3.运动参与：基础分为15分，凡参加过运动队训练、运动会比赛者为30分。</w:t>
      </w:r>
      <w:r>
        <w:rPr>
          <w:rFonts w:hint="eastAsia" w:ascii="仿宋" w:hAnsi="仿宋" w:eastAsia="仿宋" w:cs="仿宋"/>
          <w:color w:val="auto"/>
          <w:sz w:val="24"/>
          <w:szCs w:val="24"/>
          <w:u w:val="none"/>
        </w:rPr>
        <w:t>（运动队训练、运动会比赛界定范围为代表学校、学院所参与的竞技比赛项目）</w:t>
      </w:r>
    </w:p>
    <w:p>
      <w:pPr>
        <w:kinsoku/>
        <w:adjustRightInd/>
        <w:spacing w:line="400" w:lineRule="exact"/>
        <w:ind w:left="37" w:firstLine="460"/>
        <w:jc w:val="both"/>
        <w:rPr>
          <w:rFonts w:ascii="仿宋" w:hAnsi="仿宋" w:eastAsia="仿宋" w:cs="仿宋"/>
          <w:color w:val="auto"/>
          <w:sz w:val="24"/>
          <w:szCs w:val="24"/>
        </w:rPr>
      </w:pPr>
      <w:r>
        <w:rPr>
          <w:rFonts w:hint="eastAsia" w:ascii="仿宋" w:hAnsi="仿宋" w:eastAsia="仿宋" w:cs="仿宋"/>
          <w:color w:val="auto"/>
          <w:sz w:val="24"/>
          <w:szCs w:val="24"/>
        </w:rPr>
        <w:t>4.心理健康与社会适应能力：基础分15分，人际关系和谐，恰当处理学习、工作、活动的关系，无心理疾病与障碍为30分。</w:t>
      </w:r>
    </w:p>
    <w:p>
      <w:pPr>
        <w:kinsoku/>
        <w:adjustRightInd/>
        <w:spacing w:line="400" w:lineRule="exact"/>
        <w:ind w:firstLine="504"/>
        <w:jc w:val="both"/>
        <w:rPr>
          <w:rFonts w:ascii="仿宋" w:hAnsi="仿宋" w:eastAsia="仿宋" w:cs="仿宋"/>
          <w:color w:val="auto"/>
          <w:sz w:val="24"/>
          <w:szCs w:val="24"/>
          <w:u w:val="none"/>
        </w:rPr>
      </w:pPr>
      <w:r>
        <w:rPr>
          <w:rFonts w:hint="eastAsia" w:ascii="仿宋" w:hAnsi="仿宋" w:eastAsia="仿宋" w:cs="仿宋"/>
          <w:color w:val="auto"/>
          <w:sz w:val="24"/>
          <w:szCs w:val="24"/>
          <w:u w:val="none"/>
        </w:rPr>
        <w:t>5.上述1、2、4项符合基本要求的，</w:t>
      </w:r>
      <w:r>
        <w:rPr>
          <w:rFonts w:hint="eastAsia" w:ascii="仿宋" w:hAnsi="仿宋" w:eastAsia="仿宋" w:cs="仿宋"/>
          <w:color w:val="auto"/>
          <w:sz w:val="24"/>
          <w:szCs w:val="24"/>
          <w:u w:val="none"/>
          <w:lang w:eastAsia="zh-Hans"/>
        </w:rPr>
        <w:t>原则上</w:t>
      </w:r>
      <w:r>
        <w:rPr>
          <w:rFonts w:hint="eastAsia" w:ascii="仿宋" w:hAnsi="仿宋" w:eastAsia="仿宋" w:cs="仿宋"/>
          <w:color w:val="auto"/>
          <w:sz w:val="24"/>
          <w:szCs w:val="24"/>
          <w:u w:val="none"/>
        </w:rPr>
        <w:t>给予满分70分。</w:t>
      </w:r>
    </w:p>
    <w:p>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（三）测评方法</w:t>
      </w:r>
    </w:p>
    <w:p>
      <w:pPr>
        <w:kinsoku/>
        <w:adjustRightInd/>
        <w:spacing w:line="400" w:lineRule="exact"/>
        <w:ind w:left="20" w:right="1" w:firstLine="478"/>
        <w:jc w:val="both"/>
        <w:rPr>
          <w:rFonts w:ascii="仿宋" w:hAnsi="仿宋" w:eastAsia="仿宋" w:cs="仿宋"/>
          <w:color w:val="auto"/>
          <w:sz w:val="24"/>
          <w:szCs w:val="24"/>
        </w:rPr>
      </w:pPr>
      <w:r>
        <w:rPr>
          <w:rFonts w:hint="eastAsia" w:ascii="仿宋" w:hAnsi="仿宋" w:eastAsia="仿宋" w:cs="仿宋"/>
          <w:color w:val="auto"/>
          <w:sz w:val="24"/>
          <w:szCs w:val="24"/>
        </w:rPr>
        <w:t>参照“思想品德”素质测评方法，由各班成立测评小组，依据日常“记实”成绩、对成绩进行评议审核。</w:t>
      </w:r>
    </w:p>
    <w:p>
      <w:pPr>
        <w:kinsoku/>
        <w:adjustRightInd/>
        <w:spacing w:before="1"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第十四条 发展性素质测评</w:t>
      </w:r>
    </w:p>
    <w:p>
      <w:pPr>
        <w:kinsoku/>
        <w:adjustRightInd/>
        <w:spacing w:line="400" w:lineRule="exact"/>
        <w:ind w:left="27" w:right="81" w:firstLine="438"/>
        <w:jc w:val="both"/>
        <w:rPr>
          <w:rFonts w:ascii="仿宋" w:hAnsi="仿宋" w:eastAsia="仿宋" w:cs="仿宋"/>
          <w:color w:val="auto"/>
          <w:sz w:val="24"/>
          <w:szCs w:val="24"/>
        </w:rPr>
      </w:pPr>
      <w:r>
        <w:rPr>
          <w:rFonts w:hint="eastAsia" w:ascii="仿宋" w:hAnsi="仿宋" w:eastAsia="仿宋" w:cs="仿宋"/>
          <w:color w:val="auto"/>
          <w:sz w:val="24"/>
          <w:szCs w:val="24"/>
        </w:rPr>
        <w:t>（一）发展性素质是指学生在学习、工作、科技和社会活动中所表现出的创新素养以及运用所掌握的知识分析和解决实际问题的能力，主要考察学生在科技学术、社会工作、文学艺术、文体竞赛以及其他实践活动等方面获得的成果。</w:t>
      </w:r>
    </w:p>
    <w:p>
      <w:pPr>
        <w:kinsoku/>
        <w:adjustRightInd/>
        <w:spacing w:line="400" w:lineRule="exact"/>
        <w:ind w:left="24" w:right="19" w:firstLine="441"/>
        <w:jc w:val="both"/>
        <w:rPr>
          <w:rFonts w:ascii="仿宋" w:hAnsi="仿宋" w:eastAsia="仿宋" w:cs="仿宋"/>
          <w:color w:val="auto"/>
          <w:sz w:val="24"/>
          <w:szCs w:val="24"/>
        </w:rPr>
      </w:pPr>
      <w:r>
        <w:rPr>
          <w:rFonts w:hint="eastAsia" w:ascii="仿宋" w:hAnsi="仿宋" w:eastAsia="仿宋" w:cs="仿宋"/>
          <w:color w:val="auto"/>
          <w:sz w:val="24"/>
          <w:szCs w:val="24"/>
        </w:rPr>
        <w:t>（二）以学生实际获得的荣誉称号、奖励及成果鉴定证书等为主要评价指标。所获荣誉、奖励及成果应经学生处、教务处、校团委等部门审核确认方为有效。</w:t>
      </w:r>
    </w:p>
    <w:p>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（三）发展性素质成绩=各项发展性素质加分值之和。</w:t>
      </w:r>
    </w:p>
    <w:p>
      <w:pPr>
        <w:kinsoku/>
        <w:adjustRightInd/>
        <w:spacing w:line="400" w:lineRule="exact"/>
        <w:ind w:left="26" w:firstLine="439"/>
        <w:jc w:val="both"/>
        <w:rPr>
          <w:rFonts w:ascii="仿宋" w:hAnsi="仿宋" w:eastAsia="仿宋" w:cs="仿宋"/>
          <w:color w:val="auto"/>
          <w:sz w:val="24"/>
          <w:szCs w:val="24"/>
        </w:rPr>
      </w:pPr>
      <w:r>
        <w:rPr>
          <w:rFonts w:hint="eastAsia" w:ascii="仿宋" w:hAnsi="仿宋" w:eastAsia="仿宋" w:cs="仿宋"/>
          <w:color w:val="auto"/>
          <w:sz w:val="24"/>
          <w:szCs w:val="24"/>
        </w:rPr>
        <w:t>（四）一般应由学生本人提供证明材料，经班级测评小组进行核查评分后，报院（系）审核，必要时可由院（系）核查鉴定并最终酌情裁定评分。</w:t>
      </w:r>
    </w:p>
    <w:p>
      <w:pPr>
        <w:kinsoku/>
        <w:adjustRightInd/>
        <w:spacing w:line="400" w:lineRule="atLeast"/>
        <w:ind w:firstLine="509"/>
        <w:jc w:val="both"/>
        <w:rPr>
          <w:rFonts w:ascii="仿宋" w:hAnsi="仿宋" w:eastAsia="仿宋" w:cs="仿宋"/>
          <w:color w:val="auto"/>
          <w:sz w:val="24"/>
          <w:szCs w:val="24"/>
          <w14:textOutline w14:w="4356" w14:cap="flat" w14:cmpd="sng" w14:algn="ctr">
            <w14:solidFill>
              <w14:srgbClr w14:val="000000"/>
            </w14:solidFill>
            <w14:prstDash w14:val="solid"/>
            <w14:miter w14:val="0"/>
          </w14:textOutline>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第十五条 创新与创造能力</w:t>
      </w:r>
    </w:p>
    <w:p>
      <w:pPr>
        <w:kinsoku/>
        <w:adjustRightInd/>
        <w:spacing w:line="400" w:lineRule="atLeast"/>
        <w:ind w:firstLine="523"/>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一、科技竞赛</w:t>
      </w:r>
    </w:p>
    <w:p>
      <w:pPr>
        <w:kinsoku/>
        <w:adjustRightInd/>
        <w:spacing w:line="400" w:lineRule="atLeast"/>
        <w:ind w:firstLine="498"/>
        <w:jc w:val="both"/>
        <w:rPr>
          <w:rFonts w:ascii="仿宋" w:hAnsi="仿宋" w:eastAsia="仿宋" w:cs="仿宋"/>
          <w:color w:val="auto"/>
          <w:sz w:val="24"/>
          <w:szCs w:val="24"/>
        </w:rPr>
      </w:pPr>
      <w:r>
        <w:rPr>
          <w:rFonts w:hint="eastAsia" w:ascii="仿宋" w:hAnsi="仿宋" w:eastAsia="仿宋" w:cs="仿宋"/>
          <w:color w:val="auto"/>
          <w:sz w:val="24"/>
          <w:szCs w:val="24"/>
        </w:rPr>
        <w:t>参加科研成果评比，以证书或文件为依据，按以下标准加分：</w:t>
      </w:r>
    </w:p>
    <w:tbl>
      <w:tblPr>
        <w:tblStyle w:val="6"/>
        <w:tblW w:w="832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7"/>
        <w:gridCol w:w="1662"/>
        <w:gridCol w:w="1663"/>
        <w:gridCol w:w="1663"/>
        <w:gridCol w:w="16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667" w:type="dxa"/>
          </w:tcPr>
          <w:p>
            <w:pPr>
              <w:kinsoku/>
              <w:adjustRightInd/>
              <w:spacing w:before="134" w:line="170" w:lineRule="auto"/>
              <w:ind w:firstLine="605"/>
              <w:jc w:val="both"/>
              <w:rPr>
                <w:rFonts w:ascii="仿宋" w:hAnsi="仿宋" w:eastAsia="仿宋" w:cs="仿宋"/>
                <w:color w:val="auto"/>
                <w:sz w:val="24"/>
                <w:szCs w:val="24"/>
              </w:rPr>
            </w:pPr>
            <w:r>
              <w:rPr>
                <w:rFonts w:hint="eastAsia" w:ascii="仿宋" w:hAnsi="仿宋" w:eastAsia="仿宋" w:cs="仿宋"/>
                <w:color w:val="auto"/>
                <w:sz w:val="24"/>
                <w:szCs w:val="24"/>
              </w:rPr>
              <w:t>级别</w:t>
            </w:r>
          </w:p>
        </w:tc>
        <w:tc>
          <w:tcPr>
            <w:tcW w:w="1662" w:type="dxa"/>
          </w:tcPr>
          <w:p>
            <w:pPr>
              <w:kinsoku/>
              <w:adjustRightInd/>
              <w:spacing w:before="134" w:line="170" w:lineRule="auto"/>
              <w:ind w:firstLine="491"/>
              <w:jc w:val="both"/>
              <w:rPr>
                <w:rFonts w:ascii="仿宋" w:hAnsi="仿宋" w:eastAsia="仿宋" w:cs="仿宋"/>
                <w:color w:val="auto"/>
                <w:sz w:val="24"/>
                <w:szCs w:val="24"/>
              </w:rPr>
            </w:pPr>
            <w:r>
              <w:rPr>
                <w:rFonts w:hint="eastAsia" w:ascii="仿宋" w:hAnsi="仿宋" w:eastAsia="仿宋" w:cs="仿宋"/>
                <w:color w:val="auto"/>
                <w:sz w:val="24"/>
                <w:szCs w:val="24"/>
              </w:rPr>
              <w:t>一等奖</w:t>
            </w:r>
          </w:p>
        </w:tc>
        <w:tc>
          <w:tcPr>
            <w:tcW w:w="1663" w:type="dxa"/>
          </w:tcPr>
          <w:p>
            <w:pPr>
              <w:kinsoku/>
              <w:adjustRightInd/>
              <w:spacing w:before="134" w:line="170" w:lineRule="auto"/>
              <w:ind w:firstLine="487"/>
              <w:jc w:val="both"/>
              <w:rPr>
                <w:rFonts w:ascii="仿宋" w:hAnsi="仿宋" w:eastAsia="仿宋" w:cs="仿宋"/>
                <w:color w:val="auto"/>
                <w:sz w:val="24"/>
                <w:szCs w:val="24"/>
              </w:rPr>
            </w:pPr>
            <w:r>
              <w:rPr>
                <w:rFonts w:hint="eastAsia" w:ascii="仿宋" w:hAnsi="仿宋" w:eastAsia="仿宋" w:cs="仿宋"/>
                <w:color w:val="auto"/>
                <w:sz w:val="24"/>
                <w:szCs w:val="24"/>
              </w:rPr>
              <w:t>二等奖</w:t>
            </w:r>
          </w:p>
        </w:tc>
        <w:tc>
          <w:tcPr>
            <w:tcW w:w="1663" w:type="dxa"/>
          </w:tcPr>
          <w:p>
            <w:pPr>
              <w:kinsoku/>
              <w:adjustRightInd/>
              <w:spacing w:before="134" w:line="170" w:lineRule="auto"/>
              <w:ind w:firstLine="487"/>
              <w:jc w:val="both"/>
              <w:rPr>
                <w:rFonts w:ascii="仿宋" w:hAnsi="仿宋" w:eastAsia="仿宋" w:cs="仿宋"/>
                <w:color w:val="auto"/>
                <w:sz w:val="24"/>
                <w:szCs w:val="24"/>
              </w:rPr>
            </w:pPr>
            <w:r>
              <w:rPr>
                <w:rFonts w:hint="eastAsia" w:ascii="仿宋" w:hAnsi="仿宋" w:eastAsia="仿宋" w:cs="仿宋"/>
                <w:color w:val="auto"/>
                <w:sz w:val="24"/>
                <w:szCs w:val="24"/>
              </w:rPr>
              <w:t>三等奖</w:t>
            </w:r>
          </w:p>
        </w:tc>
        <w:tc>
          <w:tcPr>
            <w:tcW w:w="1667" w:type="dxa"/>
          </w:tcPr>
          <w:p>
            <w:pPr>
              <w:kinsoku/>
              <w:adjustRightInd/>
              <w:spacing w:before="134" w:line="170" w:lineRule="auto"/>
              <w:ind w:firstLine="478"/>
              <w:jc w:val="both"/>
              <w:rPr>
                <w:rFonts w:ascii="仿宋" w:hAnsi="仿宋" w:eastAsia="仿宋" w:cs="仿宋"/>
                <w:color w:val="auto"/>
                <w:sz w:val="24"/>
                <w:szCs w:val="24"/>
              </w:rPr>
            </w:pPr>
            <w:r>
              <w:rPr>
                <w:rFonts w:hint="eastAsia" w:ascii="仿宋" w:hAnsi="仿宋" w:eastAsia="仿宋" w:cs="仿宋"/>
                <w:color w:val="auto"/>
                <w:sz w:val="24"/>
                <w:szCs w:val="24"/>
              </w:rPr>
              <w:t>鼓励奖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667" w:type="dxa"/>
          </w:tcPr>
          <w:p>
            <w:pPr>
              <w:kinsoku/>
              <w:adjustRightInd/>
              <w:spacing w:before="112" w:line="168" w:lineRule="auto"/>
              <w:ind w:firstLine="599"/>
              <w:jc w:val="both"/>
              <w:rPr>
                <w:rFonts w:ascii="仿宋" w:hAnsi="仿宋" w:eastAsia="仿宋" w:cs="仿宋"/>
                <w:color w:val="auto"/>
                <w:sz w:val="24"/>
                <w:szCs w:val="24"/>
              </w:rPr>
            </w:pPr>
            <w:r>
              <w:rPr>
                <w:rFonts w:hint="eastAsia" w:ascii="仿宋" w:hAnsi="仿宋" w:eastAsia="仿宋" w:cs="仿宋"/>
                <w:color w:val="auto"/>
                <w:sz w:val="24"/>
                <w:szCs w:val="24"/>
              </w:rPr>
              <w:t>全国</w:t>
            </w:r>
          </w:p>
        </w:tc>
        <w:tc>
          <w:tcPr>
            <w:tcW w:w="1662" w:type="dxa"/>
          </w:tcPr>
          <w:p>
            <w:pPr>
              <w:kinsoku/>
              <w:adjustRightInd/>
              <w:spacing w:before="134" w:line="165" w:lineRule="auto"/>
              <w:ind w:firstLine="765"/>
              <w:jc w:val="both"/>
              <w:rPr>
                <w:rFonts w:ascii="仿宋" w:hAnsi="仿宋" w:eastAsia="仿宋" w:cs="仿宋"/>
                <w:color w:val="auto"/>
                <w:sz w:val="24"/>
                <w:szCs w:val="24"/>
              </w:rPr>
            </w:pPr>
            <w:r>
              <w:rPr>
                <w:rFonts w:hint="eastAsia" w:ascii="仿宋" w:hAnsi="仿宋" w:eastAsia="仿宋" w:cs="仿宋"/>
                <w:color w:val="auto"/>
                <w:sz w:val="24"/>
                <w:szCs w:val="24"/>
              </w:rPr>
              <w:t>6</w:t>
            </w:r>
          </w:p>
        </w:tc>
        <w:tc>
          <w:tcPr>
            <w:tcW w:w="1663" w:type="dxa"/>
          </w:tcPr>
          <w:p>
            <w:pPr>
              <w:kinsoku/>
              <w:adjustRightInd/>
              <w:spacing w:before="136" w:line="164" w:lineRule="auto"/>
              <w:ind w:firstLine="760"/>
              <w:jc w:val="both"/>
              <w:rPr>
                <w:rFonts w:ascii="仿宋" w:hAnsi="仿宋" w:eastAsia="仿宋" w:cs="仿宋"/>
                <w:color w:val="auto"/>
                <w:sz w:val="24"/>
                <w:szCs w:val="24"/>
              </w:rPr>
            </w:pPr>
            <w:r>
              <w:rPr>
                <w:rFonts w:hint="eastAsia" w:ascii="仿宋" w:hAnsi="仿宋" w:eastAsia="仿宋" w:cs="仿宋"/>
                <w:color w:val="auto"/>
                <w:sz w:val="24"/>
                <w:szCs w:val="24"/>
              </w:rPr>
              <w:t>4</w:t>
            </w:r>
          </w:p>
        </w:tc>
        <w:tc>
          <w:tcPr>
            <w:tcW w:w="1663" w:type="dxa"/>
          </w:tcPr>
          <w:p>
            <w:pPr>
              <w:kinsoku/>
              <w:adjustRightInd/>
              <w:spacing w:before="135" w:line="165" w:lineRule="auto"/>
              <w:ind w:firstLine="764"/>
              <w:jc w:val="both"/>
              <w:rPr>
                <w:rFonts w:ascii="仿宋" w:hAnsi="仿宋" w:eastAsia="仿宋" w:cs="仿宋"/>
                <w:color w:val="auto"/>
                <w:sz w:val="24"/>
                <w:szCs w:val="24"/>
              </w:rPr>
            </w:pPr>
            <w:r>
              <w:rPr>
                <w:rFonts w:hint="eastAsia" w:ascii="仿宋" w:hAnsi="仿宋" w:eastAsia="仿宋" w:cs="仿宋"/>
                <w:color w:val="auto"/>
                <w:sz w:val="24"/>
                <w:szCs w:val="24"/>
              </w:rPr>
              <w:t>2</w:t>
            </w:r>
          </w:p>
        </w:tc>
        <w:tc>
          <w:tcPr>
            <w:tcW w:w="1667" w:type="dxa"/>
          </w:tcPr>
          <w:p>
            <w:pPr>
              <w:kinsoku/>
              <w:adjustRightInd/>
              <w:spacing w:before="135" w:line="165" w:lineRule="auto"/>
              <w:ind w:firstLine="784"/>
              <w:jc w:val="both"/>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667" w:type="dxa"/>
          </w:tcPr>
          <w:p>
            <w:pPr>
              <w:kinsoku/>
              <w:adjustRightInd/>
              <w:spacing w:before="133" w:line="168" w:lineRule="auto"/>
              <w:ind w:firstLine="607"/>
              <w:jc w:val="both"/>
              <w:rPr>
                <w:rFonts w:ascii="仿宋" w:hAnsi="仿宋" w:eastAsia="仿宋" w:cs="仿宋"/>
                <w:color w:val="auto"/>
                <w:sz w:val="24"/>
                <w:szCs w:val="24"/>
              </w:rPr>
            </w:pPr>
            <w:r>
              <w:rPr>
                <w:rFonts w:hint="eastAsia" w:ascii="仿宋" w:hAnsi="仿宋" w:eastAsia="仿宋" w:cs="仿宋"/>
                <w:color w:val="auto"/>
                <w:sz w:val="24"/>
                <w:szCs w:val="24"/>
              </w:rPr>
              <w:t>市级</w:t>
            </w:r>
          </w:p>
        </w:tc>
        <w:tc>
          <w:tcPr>
            <w:tcW w:w="1662" w:type="dxa"/>
          </w:tcPr>
          <w:p>
            <w:pPr>
              <w:kinsoku/>
              <w:adjustRightInd/>
              <w:spacing w:before="136" w:line="164" w:lineRule="auto"/>
              <w:ind w:firstLine="758"/>
              <w:jc w:val="both"/>
              <w:rPr>
                <w:rFonts w:ascii="仿宋" w:hAnsi="仿宋" w:eastAsia="仿宋" w:cs="仿宋"/>
                <w:color w:val="auto"/>
                <w:sz w:val="24"/>
                <w:szCs w:val="24"/>
              </w:rPr>
            </w:pPr>
            <w:r>
              <w:rPr>
                <w:rFonts w:hint="eastAsia" w:ascii="仿宋" w:hAnsi="仿宋" w:eastAsia="仿宋" w:cs="仿宋"/>
                <w:color w:val="auto"/>
                <w:sz w:val="24"/>
                <w:szCs w:val="24"/>
              </w:rPr>
              <w:t>4</w:t>
            </w:r>
          </w:p>
        </w:tc>
        <w:tc>
          <w:tcPr>
            <w:tcW w:w="1663" w:type="dxa"/>
          </w:tcPr>
          <w:p>
            <w:pPr>
              <w:kinsoku/>
              <w:adjustRightInd/>
              <w:spacing w:before="135" w:line="165" w:lineRule="auto"/>
              <w:ind w:firstLine="763"/>
              <w:jc w:val="both"/>
              <w:rPr>
                <w:rFonts w:ascii="仿宋" w:hAnsi="仿宋" w:eastAsia="仿宋" w:cs="仿宋"/>
                <w:color w:val="auto"/>
                <w:sz w:val="24"/>
                <w:szCs w:val="24"/>
              </w:rPr>
            </w:pPr>
            <w:r>
              <w:rPr>
                <w:rFonts w:hint="eastAsia" w:ascii="仿宋" w:hAnsi="仿宋" w:eastAsia="仿宋" w:cs="仿宋"/>
                <w:color w:val="auto"/>
                <w:sz w:val="24"/>
                <w:szCs w:val="24"/>
              </w:rPr>
              <w:t>2</w:t>
            </w:r>
          </w:p>
        </w:tc>
        <w:tc>
          <w:tcPr>
            <w:tcW w:w="1663" w:type="dxa"/>
          </w:tcPr>
          <w:p>
            <w:pPr>
              <w:kinsoku/>
              <w:adjustRightInd/>
              <w:spacing w:before="135" w:line="165" w:lineRule="auto"/>
              <w:ind w:firstLine="783"/>
              <w:jc w:val="both"/>
              <w:rPr>
                <w:rFonts w:ascii="仿宋" w:hAnsi="仿宋" w:eastAsia="仿宋" w:cs="仿宋"/>
                <w:color w:val="auto"/>
                <w:sz w:val="24"/>
                <w:szCs w:val="24"/>
              </w:rPr>
            </w:pPr>
            <w:r>
              <w:rPr>
                <w:rFonts w:hint="eastAsia" w:ascii="仿宋" w:hAnsi="仿宋" w:eastAsia="仿宋" w:cs="仿宋"/>
                <w:color w:val="auto"/>
                <w:sz w:val="24"/>
                <w:szCs w:val="24"/>
              </w:rPr>
              <w:t>1</w:t>
            </w:r>
          </w:p>
        </w:tc>
        <w:tc>
          <w:tcPr>
            <w:tcW w:w="1667" w:type="dxa"/>
          </w:tcPr>
          <w:p>
            <w:pPr>
              <w:kinsoku/>
              <w:adjustRightInd/>
              <w:spacing w:before="134" w:line="165" w:lineRule="auto"/>
              <w:ind w:firstLine="669"/>
              <w:jc w:val="both"/>
              <w:rPr>
                <w:rFonts w:ascii="仿宋" w:hAnsi="仿宋" w:eastAsia="仿宋" w:cs="仿宋"/>
                <w:color w:val="auto"/>
                <w:sz w:val="24"/>
                <w:szCs w:val="24"/>
              </w:rPr>
            </w:pPr>
            <w:r>
              <w:rPr>
                <w:rFonts w:hint="eastAsia" w:ascii="仿宋" w:hAnsi="仿宋" w:eastAsia="仿宋" w:cs="仿宋"/>
                <w:color w:val="auto"/>
                <w:sz w:val="24"/>
                <w:szCs w:val="2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667" w:type="dxa"/>
          </w:tcPr>
          <w:p>
            <w:pPr>
              <w:kinsoku/>
              <w:adjustRightInd/>
              <w:spacing w:before="133" w:line="169" w:lineRule="auto"/>
              <w:ind w:firstLine="599"/>
              <w:jc w:val="both"/>
              <w:rPr>
                <w:rFonts w:ascii="仿宋" w:hAnsi="仿宋" w:eastAsia="仿宋" w:cs="仿宋"/>
                <w:color w:val="auto"/>
                <w:sz w:val="24"/>
                <w:szCs w:val="24"/>
              </w:rPr>
            </w:pPr>
            <w:r>
              <w:rPr>
                <w:rFonts w:hint="eastAsia" w:ascii="仿宋" w:hAnsi="仿宋" w:eastAsia="仿宋" w:cs="仿宋"/>
                <w:color w:val="auto"/>
                <w:sz w:val="24"/>
                <w:szCs w:val="24"/>
              </w:rPr>
              <w:t>校级</w:t>
            </w:r>
          </w:p>
        </w:tc>
        <w:tc>
          <w:tcPr>
            <w:tcW w:w="1662" w:type="dxa"/>
          </w:tcPr>
          <w:p>
            <w:pPr>
              <w:kinsoku/>
              <w:adjustRightInd/>
              <w:spacing w:before="135" w:line="165" w:lineRule="auto"/>
              <w:ind w:firstLine="762"/>
              <w:jc w:val="both"/>
              <w:rPr>
                <w:rFonts w:ascii="仿宋" w:hAnsi="仿宋" w:eastAsia="仿宋" w:cs="仿宋"/>
                <w:color w:val="auto"/>
                <w:sz w:val="24"/>
                <w:szCs w:val="24"/>
              </w:rPr>
            </w:pPr>
            <w:r>
              <w:rPr>
                <w:rFonts w:hint="eastAsia" w:ascii="仿宋" w:hAnsi="仿宋" w:eastAsia="仿宋" w:cs="仿宋"/>
                <w:color w:val="auto"/>
                <w:sz w:val="24"/>
                <w:szCs w:val="24"/>
              </w:rPr>
              <w:t>2</w:t>
            </w:r>
          </w:p>
        </w:tc>
        <w:tc>
          <w:tcPr>
            <w:tcW w:w="1663" w:type="dxa"/>
          </w:tcPr>
          <w:p>
            <w:pPr>
              <w:kinsoku/>
              <w:adjustRightInd/>
              <w:spacing w:before="135" w:line="165" w:lineRule="auto"/>
              <w:ind w:firstLine="783"/>
              <w:jc w:val="both"/>
              <w:rPr>
                <w:rFonts w:ascii="仿宋" w:hAnsi="仿宋" w:eastAsia="仿宋" w:cs="仿宋"/>
                <w:color w:val="auto"/>
                <w:sz w:val="24"/>
                <w:szCs w:val="24"/>
              </w:rPr>
            </w:pPr>
            <w:r>
              <w:rPr>
                <w:rFonts w:hint="eastAsia" w:ascii="仿宋" w:hAnsi="仿宋" w:eastAsia="仿宋" w:cs="仿宋"/>
                <w:color w:val="auto"/>
                <w:sz w:val="24"/>
                <w:szCs w:val="24"/>
              </w:rPr>
              <w:t>1</w:t>
            </w:r>
          </w:p>
        </w:tc>
        <w:tc>
          <w:tcPr>
            <w:tcW w:w="1663" w:type="dxa"/>
          </w:tcPr>
          <w:p>
            <w:pPr>
              <w:kinsoku/>
              <w:adjustRightInd/>
              <w:spacing w:before="134" w:line="165" w:lineRule="auto"/>
              <w:ind w:firstLine="669"/>
              <w:jc w:val="both"/>
              <w:rPr>
                <w:rFonts w:ascii="仿宋" w:hAnsi="仿宋" w:eastAsia="仿宋" w:cs="仿宋"/>
                <w:color w:val="auto"/>
                <w:sz w:val="24"/>
                <w:szCs w:val="24"/>
              </w:rPr>
            </w:pPr>
            <w:r>
              <w:rPr>
                <w:rFonts w:hint="eastAsia" w:ascii="仿宋" w:hAnsi="仿宋" w:eastAsia="仿宋" w:cs="仿宋"/>
                <w:color w:val="auto"/>
                <w:sz w:val="24"/>
                <w:szCs w:val="24"/>
              </w:rPr>
              <w:t>0.7</w:t>
            </w:r>
          </w:p>
        </w:tc>
        <w:tc>
          <w:tcPr>
            <w:tcW w:w="1667" w:type="dxa"/>
          </w:tcPr>
          <w:p>
            <w:pPr>
              <w:kinsoku/>
              <w:adjustRightInd/>
              <w:spacing w:before="134" w:line="165" w:lineRule="auto"/>
              <w:ind w:firstLine="669"/>
              <w:jc w:val="both"/>
              <w:rPr>
                <w:rFonts w:ascii="仿宋" w:hAnsi="仿宋" w:eastAsia="仿宋" w:cs="仿宋"/>
                <w:color w:val="auto"/>
                <w:sz w:val="24"/>
                <w:szCs w:val="24"/>
              </w:rPr>
            </w:pPr>
            <w:r>
              <w:rPr>
                <w:rFonts w:hint="eastAsia" w:ascii="仿宋" w:hAnsi="仿宋" w:eastAsia="仿宋" w:cs="仿宋"/>
                <w:color w:val="auto"/>
                <w:sz w:val="24"/>
                <w:szCs w:val="24"/>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667" w:type="dxa"/>
          </w:tcPr>
          <w:p>
            <w:pPr>
              <w:kinsoku/>
              <w:adjustRightInd/>
              <w:spacing w:before="106" w:line="186" w:lineRule="auto"/>
              <w:ind w:firstLine="254"/>
              <w:jc w:val="both"/>
              <w:rPr>
                <w:rFonts w:ascii="仿宋" w:hAnsi="仿宋" w:eastAsia="仿宋" w:cs="仿宋"/>
                <w:color w:val="auto"/>
                <w:sz w:val="24"/>
                <w:szCs w:val="24"/>
              </w:rPr>
            </w:pPr>
            <w:r>
              <w:rPr>
                <w:rFonts w:hint="eastAsia" w:ascii="仿宋" w:hAnsi="仿宋" w:eastAsia="仿宋" w:cs="仿宋"/>
                <w:color w:val="auto"/>
                <w:sz w:val="24"/>
                <w:szCs w:val="24"/>
              </w:rPr>
              <w:t>院（系）级</w:t>
            </w:r>
          </w:p>
        </w:tc>
        <w:tc>
          <w:tcPr>
            <w:tcW w:w="1662" w:type="dxa"/>
          </w:tcPr>
          <w:p>
            <w:pPr>
              <w:kinsoku/>
              <w:adjustRightInd/>
              <w:spacing w:before="136" w:line="165" w:lineRule="auto"/>
              <w:ind w:firstLine="781"/>
              <w:jc w:val="both"/>
              <w:rPr>
                <w:rFonts w:ascii="仿宋" w:hAnsi="仿宋" w:eastAsia="仿宋" w:cs="仿宋"/>
                <w:color w:val="auto"/>
                <w:sz w:val="24"/>
                <w:szCs w:val="24"/>
              </w:rPr>
            </w:pPr>
            <w:r>
              <w:rPr>
                <w:rFonts w:hint="eastAsia" w:ascii="仿宋" w:hAnsi="仿宋" w:eastAsia="仿宋" w:cs="仿宋"/>
                <w:color w:val="auto"/>
                <w:sz w:val="24"/>
                <w:szCs w:val="24"/>
              </w:rPr>
              <w:t>1</w:t>
            </w:r>
          </w:p>
        </w:tc>
        <w:tc>
          <w:tcPr>
            <w:tcW w:w="1663" w:type="dxa"/>
          </w:tcPr>
          <w:p>
            <w:pPr>
              <w:kinsoku/>
              <w:adjustRightInd/>
              <w:spacing w:before="136" w:line="165" w:lineRule="auto"/>
              <w:ind w:firstLine="668"/>
              <w:jc w:val="both"/>
              <w:rPr>
                <w:rFonts w:ascii="仿宋" w:hAnsi="仿宋" w:eastAsia="仿宋" w:cs="仿宋"/>
                <w:color w:val="auto"/>
                <w:sz w:val="24"/>
                <w:szCs w:val="24"/>
              </w:rPr>
            </w:pPr>
            <w:r>
              <w:rPr>
                <w:rFonts w:hint="eastAsia" w:ascii="仿宋" w:hAnsi="仿宋" w:eastAsia="仿宋" w:cs="仿宋"/>
                <w:color w:val="auto"/>
                <w:sz w:val="24"/>
                <w:szCs w:val="24"/>
              </w:rPr>
              <w:t>0.7</w:t>
            </w:r>
          </w:p>
        </w:tc>
        <w:tc>
          <w:tcPr>
            <w:tcW w:w="1663" w:type="dxa"/>
          </w:tcPr>
          <w:p>
            <w:pPr>
              <w:kinsoku/>
              <w:adjustRightInd/>
              <w:spacing w:before="136" w:line="165" w:lineRule="auto"/>
              <w:ind w:firstLine="669"/>
              <w:jc w:val="both"/>
              <w:rPr>
                <w:rFonts w:ascii="仿宋" w:hAnsi="仿宋" w:eastAsia="仿宋" w:cs="仿宋"/>
                <w:color w:val="auto"/>
                <w:sz w:val="24"/>
                <w:szCs w:val="24"/>
              </w:rPr>
            </w:pPr>
            <w:r>
              <w:rPr>
                <w:rFonts w:hint="eastAsia" w:ascii="仿宋" w:hAnsi="仿宋" w:eastAsia="仿宋" w:cs="仿宋"/>
                <w:color w:val="auto"/>
                <w:sz w:val="24"/>
                <w:szCs w:val="24"/>
              </w:rPr>
              <w:t>0.3</w:t>
            </w:r>
          </w:p>
        </w:tc>
        <w:tc>
          <w:tcPr>
            <w:tcW w:w="1667" w:type="dxa"/>
          </w:tcPr>
          <w:p>
            <w:pPr>
              <w:kinsoku/>
              <w:adjustRightInd/>
              <w:spacing w:before="136" w:line="165" w:lineRule="auto"/>
              <w:ind w:firstLine="669"/>
              <w:jc w:val="both"/>
              <w:rPr>
                <w:rFonts w:ascii="仿宋" w:hAnsi="仿宋" w:eastAsia="仿宋" w:cs="仿宋"/>
                <w:color w:val="auto"/>
                <w:sz w:val="24"/>
                <w:szCs w:val="24"/>
              </w:rPr>
            </w:pPr>
            <w:r>
              <w:rPr>
                <w:rFonts w:hint="eastAsia" w:ascii="仿宋" w:hAnsi="仿宋" w:eastAsia="仿宋" w:cs="仿宋"/>
                <w:color w:val="auto"/>
                <w:sz w:val="24"/>
                <w:szCs w:val="24"/>
              </w:rPr>
              <w:t>0.1</w:t>
            </w:r>
          </w:p>
        </w:tc>
      </w:tr>
    </w:tbl>
    <w:p>
      <w:pPr>
        <w:kinsoku/>
        <w:adjustRightInd/>
        <w:spacing w:line="400" w:lineRule="atLeast"/>
        <w:ind w:left="520" w:right="1042" w:hanging="10"/>
        <w:jc w:val="both"/>
        <w:rPr>
          <w:rFonts w:ascii="仿宋" w:hAnsi="仿宋" w:eastAsia="仿宋" w:cs="仿宋"/>
          <w:color w:val="auto"/>
          <w:sz w:val="24"/>
          <w:szCs w:val="24"/>
        </w:rPr>
      </w:pPr>
    </w:p>
    <w:p>
      <w:pPr>
        <w:kinsoku/>
        <w:adjustRightInd/>
        <w:spacing w:line="400" w:lineRule="atLeast"/>
        <w:ind w:left="520" w:right="1042" w:hanging="10"/>
        <w:jc w:val="both"/>
        <w:rPr>
          <w:rFonts w:ascii="仿宋" w:hAnsi="仿宋" w:eastAsia="仿宋" w:cs="仿宋"/>
          <w:color w:val="auto"/>
          <w:sz w:val="24"/>
          <w:szCs w:val="24"/>
        </w:rPr>
      </w:pPr>
      <w:r>
        <w:rPr>
          <w:rFonts w:hint="eastAsia" w:ascii="仿宋" w:hAnsi="仿宋" w:eastAsia="仿宋" w:cs="仿宋"/>
          <w:color w:val="auto"/>
          <w:sz w:val="24"/>
          <w:szCs w:val="24"/>
        </w:rPr>
        <w:t>说明：</w:t>
      </w:r>
    </w:p>
    <w:p>
      <w:pPr>
        <w:kinsoku/>
        <w:adjustRightInd/>
        <w:spacing w:line="400" w:lineRule="atLeast"/>
        <w:ind w:left="520" w:right="1042" w:hanging="10"/>
        <w:jc w:val="both"/>
        <w:rPr>
          <w:rFonts w:ascii="仿宋" w:hAnsi="仿宋" w:eastAsia="仿宋" w:cs="仿宋"/>
          <w:color w:val="auto"/>
          <w:sz w:val="24"/>
          <w:szCs w:val="24"/>
        </w:rPr>
      </w:pPr>
      <w:r>
        <w:rPr>
          <w:rFonts w:hint="eastAsia" w:ascii="仿宋" w:hAnsi="仿宋" w:eastAsia="仿宋" w:cs="仿宋"/>
          <w:color w:val="auto"/>
          <w:sz w:val="24"/>
          <w:szCs w:val="24"/>
        </w:rPr>
        <w:t>1.一人参加同一项竞赛或科研活动获多项奖的按最高项计分一。</w:t>
      </w:r>
    </w:p>
    <w:p>
      <w:pPr>
        <w:kinsoku/>
        <w:adjustRightInd/>
        <w:spacing w:line="400" w:lineRule="atLeast"/>
        <w:ind w:left="30" w:right="104" w:firstLine="471"/>
        <w:jc w:val="both"/>
        <w:rPr>
          <w:rFonts w:ascii="仿宋" w:hAnsi="仿宋" w:eastAsia="仿宋" w:cs="仿宋"/>
          <w:color w:val="auto"/>
          <w:sz w:val="24"/>
          <w:szCs w:val="24"/>
        </w:rPr>
      </w:pPr>
      <w:r>
        <w:rPr>
          <w:rFonts w:hint="eastAsia" w:ascii="仿宋" w:hAnsi="仿宋" w:eastAsia="仿宋" w:cs="仿宋"/>
          <w:color w:val="auto"/>
          <w:sz w:val="24"/>
          <w:szCs w:val="24"/>
        </w:rPr>
        <w:t>2.一项成果由多人共同完成的，</w:t>
      </w:r>
      <w:r>
        <w:rPr>
          <w:rFonts w:hint="eastAsia" w:ascii="仿宋" w:hAnsi="仿宋" w:eastAsia="仿宋" w:cs="仿宋"/>
          <w:b/>
          <w:bCs/>
          <w:color w:val="auto"/>
          <w:sz w:val="24"/>
          <w:szCs w:val="24"/>
        </w:rPr>
        <w:t>署名第一的按相应级别加分，其余降一级加分</w:t>
      </w:r>
      <w:r>
        <w:rPr>
          <w:rFonts w:hint="eastAsia" w:ascii="仿宋" w:hAnsi="仿宋" w:eastAsia="仿宋" w:cs="仿宋"/>
          <w:color w:val="auto"/>
          <w:sz w:val="24"/>
          <w:szCs w:val="24"/>
        </w:rPr>
        <w:t>。</w:t>
      </w:r>
    </w:p>
    <w:p>
      <w:pPr>
        <w:kinsoku/>
        <w:adjustRightInd/>
        <w:spacing w:line="400" w:lineRule="atLeast"/>
        <w:ind w:firstLine="518"/>
        <w:jc w:val="both"/>
        <w:outlineLvl w:val="0"/>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二、文学</w:t>
      </w:r>
    </w:p>
    <w:p>
      <w:pPr>
        <w:kinsoku/>
        <w:adjustRightInd/>
        <w:spacing w:line="400" w:lineRule="atLeast"/>
        <w:ind w:firstLine="506"/>
        <w:jc w:val="both"/>
        <w:rPr>
          <w:rFonts w:ascii="仿宋" w:hAnsi="仿宋" w:eastAsia="仿宋" w:cs="仿宋"/>
          <w:color w:val="auto"/>
          <w:sz w:val="24"/>
          <w:szCs w:val="24"/>
        </w:rPr>
      </w:pPr>
      <w:r>
        <w:rPr>
          <w:rFonts w:hint="eastAsia" w:ascii="仿宋" w:hAnsi="仿宋" w:eastAsia="仿宋" w:cs="仿宋"/>
          <w:color w:val="auto"/>
          <w:sz w:val="24"/>
          <w:szCs w:val="24"/>
        </w:rPr>
        <w:t>公开发行刊物上发表学术论文</w:t>
      </w:r>
    </w:p>
    <w:p>
      <w:pPr>
        <w:kinsoku/>
        <w:adjustRightInd/>
        <w:spacing w:line="400" w:lineRule="atLeast"/>
        <w:ind w:left="26" w:right="94" w:firstLine="479"/>
        <w:jc w:val="both"/>
        <w:rPr>
          <w:rFonts w:ascii="仿宋" w:hAnsi="仿宋" w:eastAsia="仿宋" w:cs="仿宋"/>
          <w:color w:val="auto"/>
          <w:sz w:val="24"/>
          <w:szCs w:val="24"/>
        </w:rPr>
      </w:pPr>
      <w:r>
        <w:rPr>
          <w:rFonts w:hint="eastAsia" w:ascii="仿宋" w:hAnsi="仿宋" w:eastAsia="仿宋" w:cs="仿宋"/>
          <w:color w:val="auto"/>
          <w:sz w:val="24"/>
          <w:szCs w:val="24"/>
        </w:rPr>
        <w:t>在正式出版物(指有正式刊号的出版物，下同)上发表学术性论文，或在国家级正式出版物上发表文章，加4分；在省市级正式出版物上发表文章加2分；在本校以外的校级正式出版物上发表文章，加1分；在本校校级正式出版物上发表文章，加0.7分。（此项以最高分值计，不累加）。</w:t>
      </w:r>
    </w:p>
    <w:p>
      <w:pPr>
        <w:kinsoku/>
        <w:adjustRightInd/>
        <w:spacing w:line="400" w:lineRule="exact"/>
        <w:ind w:firstLine="518"/>
        <w:jc w:val="both"/>
        <w:outlineLvl w:val="0"/>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三、参加“挑战杯”、“学术杯”、“数学建模”竞赛等加分值</w:t>
      </w:r>
    </w:p>
    <w:tbl>
      <w:tblPr>
        <w:tblStyle w:val="6"/>
        <w:tblW w:w="6243" w:type="dxa"/>
        <w:tblInd w:w="10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5"/>
        <w:gridCol w:w="1043"/>
        <w:gridCol w:w="1355"/>
        <w:gridCol w:w="13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485" w:type="dxa"/>
          </w:tcPr>
          <w:p>
            <w:pPr>
              <w:kinsoku/>
              <w:adjustRightInd/>
              <w:spacing w:before="136" w:line="170" w:lineRule="auto"/>
              <w:ind w:firstLine="860"/>
              <w:jc w:val="both"/>
              <w:rPr>
                <w:rFonts w:ascii="仿宋" w:hAnsi="仿宋" w:eastAsia="仿宋" w:cs="仿宋"/>
                <w:color w:val="auto"/>
                <w:sz w:val="24"/>
                <w:szCs w:val="24"/>
              </w:rPr>
            </w:pPr>
            <w:r>
              <w:rPr>
                <w:rFonts w:hint="eastAsia" w:ascii="仿宋" w:hAnsi="仿宋" w:eastAsia="仿宋" w:cs="仿宋"/>
                <w:color w:val="auto"/>
                <w:sz w:val="24"/>
                <w:szCs w:val="24"/>
              </w:rPr>
              <w:t>级别</w:t>
            </w:r>
          </w:p>
        </w:tc>
        <w:tc>
          <w:tcPr>
            <w:tcW w:w="1043" w:type="dxa"/>
          </w:tcPr>
          <w:p>
            <w:pPr>
              <w:kinsoku/>
              <w:adjustRightInd/>
              <w:spacing w:before="136" w:line="170" w:lineRule="auto"/>
              <w:ind w:firstLine="240" w:firstLineChars="100"/>
              <w:jc w:val="both"/>
              <w:rPr>
                <w:rFonts w:ascii="仿宋" w:hAnsi="仿宋" w:eastAsia="仿宋" w:cs="仿宋"/>
                <w:color w:val="auto"/>
                <w:sz w:val="24"/>
                <w:szCs w:val="24"/>
              </w:rPr>
            </w:pPr>
            <w:r>
              <w:rPr>
                <w:rFonts w:hint="eastAsia" w:ascii="仿宋" w:hAnsi="仿宋" w:eastAsia="仿宋" w:cs="仿宋"/>
                <w:color w:val="auto"/>
                <w:sz w:val="24"/>
                <w:szCs w:val="24"/>
              </w:rPr>
              <w:t>一等奖</w:t>
            </w:r>
          </w:p>
        </w:tc>
        <w:tc>
          <w:tcPr>
            <w:tcW w:w="1355" w:type="dxa"/>
          </w:tcPr>
          <w:p>
            <w:pPr>
              <w:kinsoku/>
              <w:adjustRightInd/>
              <w:spacing w:before="136" w:line="170" w:lineRule="auto"/>
              <w:ind w:firstLine="334"/>
              <w:jc w:val="both"/>
              <w:rPr>
                <w:rFonts w:ascii="仿宋" w:hAnsi="仿宋" w:eastAsia="仿宋" w:cs="仿宋"/>
                <w:color w:val="auto"/>
                <w:sz w:val="24"/>
                <w:szCs w:val="24"/>
              </w:rPr>
            </w:pPr>
            <w:r>
              <w:rPr>
                <w:rFonts w:hint="eastAsia" w:ascii="仿宋" w:hAnsi="仿宋" w:eastAsia="仿宋" w:cs="仿宋"/>
                <w:color w:val="auto"/>
                <w:sz w:val="24"/>
                <w:szCs w:val="24"/>
              </w:rPr>
              <w:t>二等奖</w:t>
            </w:r>
          </w:p>
        </w:tc>
        <w:tc>
          <w:tcPr>
            <w:tcW w:w="1360" w:type="dxa"/>
          </w:tcPr>
          <w:p>
            <w:pPr>
              <w:kinsoku/>
              <w:adjustRightInd/>
              <w:spacing w:before="136" w:line="170" w:lineRule="auto"/>
              <w:ind w:firstLine="335"/>
              <w:jc w:val="both"/>
              <w:rPr>
                <w:rFonts w:ascii="仿宋" w:hAnsi="仿宋" w:eastAsia="仿宋" w:cs="仿宋"/>
                <w:color w:val="auto"/>
                <w:sz w:val="24"/>
                <w:szCs w:val="24"/>
              </w:rPr>
            </w:pPr>
            <w:r>
              <w:rPr>
                <w:rFonts w:hint="eastAsia" w:ascii="仿宋" w:hAnsi="仿宋" w:eastAsia="仿宋" w:cs="仿宋"/>
                <w:color w:val="auto"/>
                <w:sz w:val="24"/>
                <w:szCs w:val="24"/>
              </w:rPr>
              <w:t>三等奖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2485" w:type="dxa"/>
          </w:tcPr>
          <w:p>
            <w:pPr>
              <w:kinsoku/>
              <w:adjustRightInd/>
              <w:spacing w:before="110" w:line="181" w:lineRule="auto"/>
              <w:ind w:firstLine="412"/>
              <w:jc w:val="both"/>
              <w:rPr>
                <w:rFonts w:ascii="仿宋" w:hAnsi="仿宋" w:eastAsia="仿宋" w:cs="仿宋"/>
                <w:color w:val="auto"/>
                <w:sz w:val="24"/>
                <w:szCs w:val="24"/>
              </w:rPr>
            </w:pPr>
            <w:r>
              <w:rPr>
                <w:rFonts w:hint="eastAsia" w:ascii="仿宋" w:hAnsi="仿宋" w:eastAsia="仿宋" w:cs="仿宋"/>
                <w:color w:val="auto"/>
                <w:sz w:val="24"/>
                <w:szCs w:val="24"/>
              </w:rPr>
              <w:t>全国“挑战杯”</w:t>
            </w:r>
          </w:p>
        </w:tc>
        <w:tc>
          <w:tcPr>
            <w:tcW w:w="1043" w:type="dxa"/>
          </w:tcPr>
          <w:p>
            <w:pPr>
              <w:kinsoku/>
              <w:adjustRightInd/>
              <w:spacing w:before="136" w:line="163" w:lineRule="auto"/>
              <w:ind w:firstLine="612"/>
              <w:jc w:val="both"/>
              <w:rPr>
                <w:rFonts w:ascii="仿宋" w:hAnsi="仿宋" w:eastAsia="仿宋" w:cs="仿宋"/>
                <w:color w:val="auto"/>
                <w:sz w:val="24"/>
                <w:szCs w:val="24"/>
              </w:rPr>
            </w:pPr>
            <w:r>
              <w:rPr>
                <w:rFonts w:hint="eastAsia" w:ascii="仿宋" w:hAnsi="仿宋" w:eastAsia="仿宋" w:cs="仿宋"/>
                <w:color w:val="auto"/>
                <w:sz w:val="24"/>
                <w:szCs w:val="24"/>
              </w:rPr>
              <w:t>5</w:t>
            </w:r>
          </w:p>
        </w:tc>
        <w:tc>
          <w:tcPr>
            <w:tcW w:w="1355" w:type="dxa"/>
          </w:tcPr>
          <w:p>
            <w:pPr>
              <w:kinsoku/>
              <w:adjustRightInd/>
              <w:spacing w:before="134" w:line="164" w:lineRule="auto"/>
              <w:ind w:firstLine="606"/>
              <w:jc w:val="both"/>
              <w:rPr>
                <w:rFonts w:ascii="仿宋" w:hAnsi="仿宋" w:eastAsia="仿宋" w:cs="仿宋"/>
                <w:color w:val="auto"/>
                <w:sz w:val="24"/>
                <w:szCs w:val="24"/>
              </w:rPr>
            </w:pPr>
            <w:r>
              <w:rPr>
                <w:rFonts w:hint="eastAsia" w:ascii="仿宋" w:hAnsi="仿宋" w:eastAsia="仿宋" w:cs="仿宋"/>
                <w:color w:val="auto"/>
                <w:sz w:val="24"/>
                <w:szCs w:val="24"/>
              </w:rPr>
              <w:t>4</w:t>
            </w:r>
          </w:p>
        </w:tc>
        <w:tc>
          <w:tcPr>
            <w:tcW w:w="1360" w:type="dxa"/>
          </w:tcPr>
          <w:p>
            <w:pPr>
              <w:kinsoku/>
              <w:adjustRightInd/>
              <w:spacing w:before="132" w:line="165" w:lineRule="auto"/>
              <w:ind w:firstLine="615"/>
              <w:jc w:val="both"/>
              <w:rPr>
                <w:rFonts w:ascii="仿宋" w:hAnsi="仿宋" w:eastAsia="仿宋" w:cs="仿宋"/>
                <w:color w:val="auto"/>
                <w:sz w:val="24"/>
                <w:szCs w:val="24"/>
              </w:rPr>
            </w:pPr>
            <w:r>
              <w:rPr>
                <w:rFonts w:hint="eastAsia" w:ascii="仿宋" w:hAnsi="仿宋" w:eastAsia="仿宋" w:cs="仿宋"/>
                <w:color w:val="auto"/>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2485" w:type="dxa"/>
          </w:tcPr>
          <w:p>
            <w:pPr>
              <w:kinsoku/>
              <w:adjustRightInd/>
              <w:spacing w:before="133" w:line="169" w:lineRule="auto"/>
              <w:ind w:firstLine="173"/>
              <w:jc w:val="both"/>
              <w:rPr>
                <w:rFonts w:ascii="仿宋" w:hAnsi="仿宋" w:eastAsia="仿宋" w:cs="仿宋"/>
                <w:color w:val="auto"/>
                <w:sz w:val="24"/>
                <w:szCs w:val="24"/>
              </w:rPr>
            </w:pPr>
            <w:r>
              <w:rPr>
                <w:rFonts w:hint="eastAsia" w:ascii="仿宋" w:hAnsi="仿宋" w:eastAsia="仿宋" w:cs="仿宋"/>
                <w:color w:val="auto"/>
                <w:sz w:val="24"/>
                <w:szCs w:val="24"/>
              </w:rPr>
              <w:t>北京市“数学建模”</w:t>
            </w:r>
          </w:p>
        </w:tc>
        <w:tc>
          <w:tcPr>
            <w:tcW w:w="1043" w:type="dxa"/>
          </w:tcPr>
          <w:p>
            <w:pPr>
              <w:kinsoku/>
              <w:adjustRightInd/>
              <w:spacing w:before="137" w:line="163" w:lineRule="auto"/>
              <w:ind w:firstLine="612"/>
              <w:jc w:val="both"/>
              <w:rPr>
                <w:rFonts w:ascii="仿宋" w:hAnsi="仿宋" w:eastAsia="仿宋" w:cs="仿宋"/>
                <w:color w:val="auto"/>
                <w:sz w:val="24"/>
                <w:szCs w:val="24"/>
              </w:rPr>
            </w:pPr>
            <w:r>
              <w:rPr>
                <w:rFonts w:hint="eastAsia" w:ascii="仿宋" w:hAnsi="仿宋" w:eastAsia="仿宋" w:cs="仿宋"/>
                <w:color w:val="auto"/>
                <w:sz w:val="24"/>
                <w:szCs w:val="24"/>
              </w:rPr>
              <w:t>5</w:t>
            </w:r>
          </w:p>
        </w:tc>
        <w:tc>
          <w:tcPr>
            <w:tcW w:w="1355" w:type="dxa"/>
          </w:tcPr>
          <w:p>
            <w:pPr>
              <w:kinsoku/>
              <w:adjustRightInd/>
              <w:spacing w:before="136" w:line="164" w:lineRule="auto"/>
              <w:ind w:firstLine="606"/>
              <w:jc w:val="both"/>
              <w:rPr>
                <w:rFonts w:ascii="仿宋" w:hAnsi="仿宋" w:eastAsia="仿宋" w:cs="仿宋"/>
                <w:color w:val="auto"/>
                <w:sz w:val="24"/>
                <w:szCs w:val="24"/>
              </w:rPr>
            </w:pPr>
            <w:r>
              <w:rPr>
                <w:rFonts w:hint="eastAsia" w:ascii="仿宋" w:hAnsi="仿宋" w:eastAsia="仿宋" w:cs="仿宋"/>
                <w:color w:val="auto"/>
                <w:sz w:val="24"/>
                <w:szCs w:val="24"/>
              </w:rPr>
              <w:t>4</w:t>
            </w:r>
          </w:p>
        </w:tc>
        <w:tc>
          <w:tcPr>
            <w:tcW w:w="1360" w:type="dxa"/>
          </w:tcPr>
          <w:p>
            <w:pPr>
              <w:kinsoku/>
              <w:adjustRightInd/>
              <w:spacing w:before="134" w:line="165" w:lineRule="auto"/>
              <w:ind w:firstLine="615"/>
              <w:jc w:val="both"/>
              <w:rPr>
                <w:rFonts w:ascii="仿宋" w:hAnsi="仿宋" w:eastAsia="仿宋" w:cs="仿宋"/>
                <w:color w:val="auto"/>
                <w:sz w:val="24"/>
                <w:szCs w:val="24"/>
              </w:rPr>
            </w:pPr>
            <w:r>
              <w:rPr>
                <w:rFonts w:hint="eastAsia" w:ascii="仿宋" w:hAnsi="仿宋" w:eastAsia="仿宋" w:cs="仿宋"/>
                <w:color w:val="auto"/>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485" w:type="dxa"/>
          </w:tcPr>
          <w:p>
            <w:pPr>
              <w:kinsoku/>
              <w:adjustRightInd/>
              <w:spacing w:before="134" w:line="170" w:lineRule="auto"/>
              <w:ind w:firstLine="532"/>
              <w:jc w:val="both"/>
              <w:rPr>
                <w:rFonts w:ascii="仿宋" w:hAnsi="仿宋" w:eastAsia="仿宋" w:cs="仿宋"/>
                <w:color w:val="auto"/>
                <w:sz w:val="24"/>
                <w:szCs w:val="24"/>
              </w:rPr>
            </w:pPr>
            <w:r>
              <w:rPr>
                <w:rFonts w:hint="eastAsia" w:ascii="仿宋" w:hAnsi="仿宋" w:eastAsia="仿宋" w:cs="仿宋"/>
                <w:color w:val="auto"/>
                <w:sz w:val="24"/>
                <w:szCs w:val="24"/>
              </w:rPr>
              <w:t>校“学术杯”</w:t>
            </w:r>
          </w:p>
        </w:tc>
        <w:tc>
          <w:tcPr>
            <w:tcW w:w="1043" w:type="dxa"/>
          </w:tcPr>
          <w:p>
            <w:pPr>
              <w:kinsoku/>
              <w:adjustRightInd/>
              <w:spacing w:before="135" w:line="165" w:lineRule="auto"/>
              <w:ind w:firstLine="612"/>
              <w:jc w:val="both"/>
              <w:rPr>
                <w:rFonts w:ascii="仿宋" w:hAnsi="仿宋" w:eastAsia="仿宋" w:cs="仿宋"/>
                <w:color w:val="auto"/>
                <w:sz w:val="24"/>
                <w:szCs w:val="24"/>
              </w:rPr>
            </w:pPr>
            <w:r>
              <w:rPr>
                <w:rFonts w:hint="eastAsia" w:ascii="仿宋" w:hAnsi="仿宋" w:eastAsia="仿宋" w:cs="仿宋"/>
                <w:color w:val="auto"/>
                <w:sz w:val="24"/>
                <w:szCs w:val="24"/>
              </w:rPr>
              <w:t>3</w:t>
            </w:r>
          </w:p>
        </w:tc>
        <w:tc>
          <w:tcPr>
            <w:tcW w:w="1355" w:type="dxa"/>
          </w:tcPr>
          <w:p>
            <w:pPr>
              <w:kinsoku/>
              <w:adjustRightInd/>
              <w:spacing w:before="136" w:line="165" w:lineRule="auto"/>
              <w:ind w:firstLine="610"/>
              <w:jc w:val="both"/>
              <w:rPr>
                <w:rFonts w:ascii="仿宋" w:hAnsi="仿宋" w:eastAsia="仿宋" w:cs="仿宋"/>
                <w:color w:val="auto"/>
                <w:sz w:val="24"/>
                <w:szCs w:val="24"/>
              </w:rPr>
            </w:pPr>
            <w:r>
              <w:rPr>
                <w:rFonts w:hint="eastAsia" w:ascii="仿宋" w:hAnsi="仿宋" w:eastAsia="仿宋" w:cs="仿宋"/>
                <w:color w:val="auto"/>
                <w:sz w:val="24"/>
                <w:szCs w:val="24"/>
              </w:rPr>
              <w:t>2</w:t>
            </w:r>
          </w:p>
        </w:tc>
        <w:tc>
          <w:tcPr>
            <w:tcW w:w="1360" w:type="dxa"/>
          </w:tcPr>
          <w:p>
            <w:pPr>
              <w:kinsoku/>
              <w:adjustRightInd/>
              <w:spacing w:before="136" w:line="165" w:lineRule="auto"/>
              <w:ind w:firstLine="631"/>
              <w:jc w:val="both"/>
              <w:rPr>
                <w:rFonts w:ascii="仿宋" w:hAnsi="仿宋" w:eastAsia="仿宋" w:cs="仿宋"/>
                <w:color w:val="auto"/>
                <w:sz w:val="24"/>
                <w:szCs w:val="24"/>
              </w:rPr>
            </w:pPr>
            <w:r>
              <w:rPr>
                <w:rFonts w:hint="eastAsia" w:ascii="仿宋" w:hAnsi="仿宋" w:eastAsia="仿宋" w:cs="仿宋"/>
                <w:color w:val="auto"/>
                <w:sz w:val="24"/>
                <w:szCs w:val="24"/>
              </w:rPr>
              <w:t>1</w:t>
            </w:r>
          </w:p>
        </w:tc>
      </w:tr>
    </w:tbl>
    <w:p>
      <w:pPr>
        <w:kinsoku/>
        <w:adjustRightInd/>
        <w:spacing w:before="39" w:line="180" w:lineRule="auto"/>
        <w:ind w:left="18" w:right="106" w:firstLine="490"/>
        <w:jc w:val="both"/>
        <w:rPr>
          <w:rFonts w:ascii="仿宋" w:hAnsi="仿宋" w:eastAsia="仿宋" w:cs="仿宋"/>
          <w:color w:val="auto"/>
          <w:sz w:val="24"/>
          <w:szCs w:val="24"/>
        </w:rPr>
      </w:pPr>
    </w:p>
    <w:p>
      <w:pPr>
        <w:kinsoku/>
        <w:adjustRightInd/>
        <w:spacing w:before="39" w:line="180" w:lineRule="auto"/>
        <w:ind w:left="18" w:right="106" w:firstLine="490"/>
        <w:jc w:val="both"/>
        <w:rPr>
          <w:rFonts w:ascii="仿宋" w:hAnsi="仿宋" w:eastAsia="仿宋" w:cs="仿宋"/>
          <w:color w:val="auto"/>
          <w:sz w:val="24"/>
          <w:szCs w:val="24"/>
        </w:rPr>
      </w:pPr>
    </w:p>
    <w:tbl>
      <w:tblPr>
        <w:tblStyle w:val="3"/>
        <w:tblpPr w:leftFromText="180" w:rightFromText="180" w:vertAnchor="text" w:horzAnchor="page" w:tblpX="2247"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5"/>
        <w:gridCol w:w="1893"/>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55" w:type="dxa"/>
            <w:vAlign w:val="center"/>
          </w:tcPr>
          <w:p>
            <w:pPr>
              <w:kinsoku/>
              <w:adjustRightInd/>
              <w:spacing w:before="39" w:line="180" w:lineRule="auto"/>
              <w:ind w:right="106"/>
              <w:jc w:val="center"/>
              <w:rPr>
                <w:rFonts w:ascii="仿宋" w:hAnsi="仿宋" w:eastAsia="仿宋" w:cs="仿宋"/>
                <w:color w:val="auto"/>
                <w:sz w:val="24"/>
                <w:szCs w:val="24"/>
              </w:rPr>
            </w:pPr>
          </w:p>
        </w:tc>
        <w:tc>
          <w:tcPr>
            <w:tcW w:w="1893" w:type="dxa"/>
            <w:vAlign w:val="center"/>
          </w:tcPr>
          <w:p>
            <w:pPr>
              <w:kinsoku/>
              <w:adjustRightInd/>
              <w:spacing w:before="39" w:line="180" w:lineRule="auto"/>
              <w:ind w:right="106"/>
              <w:jc w:val="center"/>
              <w:rPr>
                <w:rFonts w:ascii="仿宋" w:hAnsi="仿宋" w:eastAsia="仿宋" w:cs="仿宋"/>
                <w:color w:val="auto"/>
                <w:sz w:val="24"/>
                <w:szCs w:val="24"/>
                <w:lang w:eastAsia="zh-Hans"/>
              </w:rPr>
            </w:pPr>
            <w:r>
              <w:rPr>
                <w:rFonts w:hint="eastAsia" w:ascii="仿宋" w:hAnsi="仿宋" w:eastAsia="仿宋" w:cs="仿宋"/>
                <w:color w:val="auto"/>
                <w:sz w:val="24"/>
                <w:szCs w:val="24"/>
                <w:lang w:eastAsia="zh-Hans"/>
              </w:rPr>
              <w:t>优秀</w:t>
            </w:r>
          </w:p>
        </w:tc>
        <w:tc>
          <w:tcPr>
            <w:tcW w:w="1971" w:type="dxa"/>
            <w:vAlign w:val="center"/>
          </w:tcPr>
          <w:p>
            <w:pPr>
              <w:kinsoku/>
              <w:adjustRightInd/>
              <w:spacing w:before="39" w:line="180" w:lineRule="auto"/>
              <w:ind w:right="106"/>
              <w:jc w:val="center"/>
              <w:rPr>
                <w:rFonts w:ascii="仿宋" w:hAnsi="仿宋" w:eastAsia="仿宋" w:cs="仿宋"/>
                <w:color w:val="auto"/>
                <w:sz w:val="24"/>
                <w:szCs w:val="24"/>
                <w:lang w:eastAsia="zh-Hans"/>
              </w:rPr>
            </w:pPr>
            <w:r>
              <w:rPr>
                <w:rFonts w:hint="eastAsia" w:ascii="仿宋" w:hAnsi="仿宋" w:eastAsia="仿宋" w:cs="仿宋"/>
                <w:color w:val="auto"/>
                <w:sz w:val="24"/>
                <w:szCs w:val="24"/>
                <w:lang w:eastAsia="zh-Hans"/>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355" w:type="dxa"/>
            <w:vAlign w:val="center"/>
          </w:tcPr>
          <w:p>
            <w:pPr>
              <w:kinsoku/>
              <w:adjustRightInd/>
              <w:spacing w:before="39" w:line="180" w:lineRule="auto"/>
              <w:ind w:right="106"/>
              <w:jc w:val="center"/>
              <w:rPr>
                <w:rFonts w:ascii="仿宋" w:hAnsi="仿宋" w:eastAsia="仿宋" w:cs="仿宋"/>
                <w:color w:val="auto"/>
                <w:sz w:val="24"/>
                <w:szCs w:val="24"/>
                <w:lang w:eastAsia="zh-Hans"/>
              </w:rPr>
            </w:pPr>
            <w:r>
              <w:rPr>
                <w:rFonts w:hint="eastAsia" w:ascii="仿宋" w:hAnsi="仿宋" w:eastAsia="仿宋" w:cs="仿宋"/>
                <w:color w:val="auto"/>
                <w:sz w:val="24"/>
                <w:szCs w:val="24"/>
                <w:lang w:eastAsia="zh-Hans"/>
              </w:rPr>
              <w:t>大科创（结项）</w:t>
            </w:r>
          </w:p>
        </w:tc>
        <w:tc>
          <w:tcPr>
            <w:tcW w:w="1893" w:type="dxa"/>
            <w:vAlign w:val="center"/>
          </w:tcPr>
          <w:p>
            <w:pPr>
              <w:kinsoku/>
              <w:adjustRightInd/>
              <w:spacing w:before="39" w:line="180" w:lineRule="auto"/>
              <w:ind w:right="106"/>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1971" w:type="dxa"/>
            <w:vAlign w:val="center"/>
          </w:tcPr>
          <w:p>
            <w:pPr>
              <w:kinsoku/>
              <w:adjustRightInd/>
              <w:spacing w:before="39" w:line="180" w:lineRule="auto"/>
              <w:ind w:right="106"/>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bl>
    <w:p>
      <w:pPr>
        <w:kinsoku/>
        <w:adjustRightInd/>
        <w:spacing w:before="39" w:line="180" w:lineRule="auto"/>
        <w:ind w:left="18" w:right="106" w:firstLine="490"/>
        <w:jc w:val="both"/>
        <w:rPr>
          <w:rFonts w:ascii="仿宋" w:hAnsi="仿宋" w:eastAsia="仿宋" w:cs="仿宋"/>
          <w:color w:val="auto"/>
          <w:sz w:val="24"/>
          <w:szCs w:val="24"/>
        </w:rPr>
      </w:pPr>
    </w:p>
    <w:p>
      <w:pPr>
        <w:kinsoku/>
        <w:adjustRightInd/>
        <w:spacing w:before="39" w:line="180" w:lineRule="auto"/>
        <w:ind w:left="18" w:right="106" w:firstLine="490"/>
        <w:jc w:val="both"/>
        <w:rPr>
          <w:rFonts w:ascii="仿宋" w:hAnsi="仿宋" w:eastAsia="仿宋" w:cs="仿宋"/>
          <w:color w:val="auto"/>
          <w:sz w:val="24"/>
          <w:szCs w:val="24"/>
        </w:rPr>
      </w:pPr>
    </w:p>
    <w:p>
      <w:pPr>
        <w:kinsoku/>
        <w:adjustRightInd/>
        <w:spacing w:before="39" w:line="180" w:lineRule="auto"/>
        <w:ind w:left="18" w:right="106" w:firstLine="490"/>
        <w:jc w:val="both"/>
        <w:rPr>
          <w:rFonts w:ascii="仿宋" w:hAnsi="仿宋" w:eastAsia="仿宋" w:cs="仿宋"/>
          <w:color w:val="auto"/>
          <w:sz w:val="24"/>
          <w:szCs w:val="24"/>
        </w:rPr>
      </w:pPr>
    </w:p>
    <w:p>
      <w:pPr>
        <w:kinsoku/>
        <w:adjustRightInd/>
        <w:spacing w:before="39" w:line="180" w:lineRule="auto"/>
        <w:ind w:left="18" w:right="106" w:firstLine="490"/>
        <w:jc w:val="both"/>
        <w:rPr>
          <w:rFonts w:ascii="仿宋" w:hAnsi="仿宋" w:eastAsia="仿宋" w:cs="仿宋"/>
          <w:color w:val="auto"/>
          <w:sz w:val="24"/>
          <w:szCs w:val="24"/>
        </w:rPr>
      </w:pPr>
    </w:p>
    <w:p>
      <w:pPr>
        <w:kinsoku/>
        <w:adjustRightInd/>
        <w:spacing w:line="400" w:lineRule="exact"/>
        <w:ind w:left="18" w:right="106" w:firstLine="490"/>
        <w:jc w:val="both"/>
        <w:rPr>
          <w:rFonts w:ascii="仿宋" w:hAnsi="仿宋" w:eastAsia="仿宋" w:cs="仿宋"/>
          <w:color w:val="auto"/>
          <w:sz w:val="24"/>
          <w:szCs w:val="24"/>
        </w:rPr>
      </w:pPr>
    </w:p>
    <w:p>
      <w:pPr>
        <w:kinsoku/>
        <w:adjustRightInd/>
        <w:spacing w:line="400" w:lineRule="exact"/>
        <w:ind w:left="18" w:right="106" w:firstLine="490"/>
        <w:jc w:val="both"/>
        <w:rPr>
          <w:rFonts w:ascii="仿宋" w:hAnsi="仿宋" w:eastAsia="仿宋" w:cs="仿宋"/>
          <w:color w:val="auto"/>
          <w:sz w:val="24"/>
          <w:szCs w:val="24"/>
        </w:rPr>
      </w:pPr>
      <w:r>
        <w:rPr>
          <w:rFonts w:hint="eastAsia" w:ascii="仿宋" w:hAnsi="仿宋" w:eastAsia="仿宋" w:cs="仿宋"/>
          <w:color w:val="auto"/>
          <w:sz w:val="24"/>
          <w:szCs w:val="24"/>
        </w:rPr>
        <w:t>注：</w:t>
      </w:r>
    </w:p>
    <w:p>
      <w:pPr>
        <w:kinsoku/>
        <w:adjustRightInd/>
        <w:spacing w:line="400" w:lineRule="exact"/>
        <w:ind w:left="18" w:right="106" w:firstLine="490"/>
        <w:jc w:val="both"/>
        <w:rPr>
          <w:rFonts w:ascii="仿宋" w:hAnsi="仿宋" w:eastAsia="仿宋" w:cs="仿宋"/>
          <w:color w:val="auto"/>
          <w:sz w:val="24"/>
          <w:szCs w:val="24"/>
          <w:u w:val="none"/>
        </w:rPr>
      </w:pPr>
      <w:r>
        <w:rPr>
          <w:rFonts w:hint="eastAsia" w:ascii="仿宋" w:hAnsi="仿宋" w:eastAsia="仿宋" w:cs="仿宋"/>
          <w:color w:val="auto"/>
          <w:sz w:val="24"/>
          <w:szCs w:val="24"/>
          <w:u w:val="none"/>
        </w:rPr>
        <w:t>国家级其他学科竞赛参</w:t>
      </w:r>
      <w:bookmarkStart w:id="0" w:name="_GoBack"/>
      <w:bookmarkEnd w:id="0"/>
      <w:r>
        <w:rPr>
          <w:rFonts w:hint="eastAsia" w:ascii="仿宋" w:hAnsi="仿宋" w:eastAsia="仿宋" w:cs="仿宋"/>
          <w:color w:val="auto"/>
          <w:sz w:val="24"/>
          <w:szCs w:val="24"/>
          <w:u w:val="none"/>
        </w:rPr>
        <w:t>照全国“挑战杯”；北京市级学科竞赛（</w:t>
      </w:r>
      <w:r>
        <w:rPr>
          <w:rFonts w:hint="eastAsia" w:ascii="仿宋" w:hAnsi="仿宋" w:eastAsia="仿宋" w:cs="仿宋"/>
          <w:color w:val="auto"/>
          <w:sz w:val="24"/>
          <w:szCs w:val="24"/>
          <w:u w:val="none"/>
          <w:lang w:eastAsia="zh-Hans"/>
        </w:rPr>
        <w:t>含国家级比赛的省市赛）</w:t>
      </w:r>
      <w:r>
        <w:rPr>
          <w:rFonts w:hint="eastAsia" w:ascii="仿宋" w:hAnsi="仿宋" w:eastAsia="仿宋" w:cs="仿宋"/>
          <w:color w:val="auto"/>
          <w:sz w:val="24"/>
          <w:szCs w:val="24"/>
          <w:u w:val="none"/>
        </w:rPr>
        <w:t>参照“北京市数学建模”；</w:t>
      </w:r>
      <w:r>
        <w:rPr>
          <w:rFonts w:hint="eastAsia" w:ascii="仿宋" w:hAnsi="仿宋" w:eastAsia="仿宋" w:cs="仿宋"/>
          <w:color w:val="auto"/>
          <w:sz w:val="24"/>
          <w:szCs w:val="24"/>
          <w:u w:val="none"/>
          <w:lang w:eastAsia="zh-Hans"/>
        </w:rPr>
        <w:t>学校</w:t>
      </w:r>
      <w:r>
        <w:rPr>
          <w:rFonts w:hint="eastAsia" w:ascii="仿宋" w:hAnsi="仿宋" w:eastAsia="仿宋" w:cs="仿宋"/>
          <w:color w:val="auto"/>
          <w:sz w:val="24"/>
          <w:szCs w:val="24"/>
          <w:u w:val="none"/>
        </w:rPr>
        <w:t>举办的大学生学术论坛论文大赛及学校、其他高校、行业协会举办的其他各类学术竞赛（</w:t>
      </w:r>
      <w:r>
        <w:rPr>
          <w:rFonts w:hint="eastAsia" w:ascii="仿宋" w:hAnsi="仿宋" w:eastAsia="仿宋" w:cs="仿宋"/>
          <w:color w:val="auto"/>
          <w:sz w:val="24"/>
          <w:szCs w:val="24"/>
          <w:u w:val="none"/>
          <w:lang w:eastAsia="zh-Hans"/>
        </w:rPr>
        <w:t>含国家级比赛的校赛及北京市级学科竞赛的校赛）</w:t>
      </w:r>
      <w:r>
        <w:rPr>
          <w:rFonts w:hint="eastAsia" w:ascii="仿宋" w:hAnsi="仿宋" w:eastAsia="仿宋" w:cs="仿宋"/>
          <w:color w:val="auto"/>
          <w:sz w:val="24"/>
          <w:szCs w:val="24"/>
          <w:u w:val="none"/>
        </w:rPr>
        <w:t>参照校“学术杯”评定范围。</w:t>
      </w:r>
    </w:p>
    <w:p>
      <w:pPr>
        <w:kinsoku/>
        <w:adjustRightInd/>
        <w:spacing w:line="400" w:lineRule="exact"/>
        <w:ind w:left="18" w:right="106" w:firstLine="490"/>
        <w:jc w:val="both"/>
        <w:rPr>
          <w:rFonts w:ascii="仿宋" w:hAnsi="仿宋" w:eastAsia="仿宋" w:cs="仿宋"/>
          <w:color w:val="auto"/>
          <w:sz w:val="24"/>
          <w:szCs w:val="24"/>
          <w:highlight w:val="yellow"/>
          <w:u w:val="single"/>
          <w:lang w:eastAsia="zh-Hans"/>
        </w:rPr>
      </w:pPr>
      <w:r>
        <w:rPr>
          <w:rFonts w:hint="eastAsia" w:ascii="仿宋" w:hAnsi="仿宋" w:eastAsia="仿宋" w:cs="仿宋"/>
          <w:color w:val="auto"/>
          <w:sz w:val="24"/>
          <w:szCs w:val="24"/>
          <w:u w:val="none"/>
          <w:lang w:eastAsia="zh-Hans"/>
        </w:rPr>
        <w:t>其他不在学校竞赛目录的比赛，需由负责老师出具说明并签字，由学院评定小组审核后按照对应级别加分。</w:t>
      </w:r>
    </w:p>
    <w:p>
      <w:pPr>
        <w:kinsoku/>
        <w:adjustRightInd/>
        <w:spacing w:line="400" w:lineRule="exact"/>
        <w:ind w:firstLine="523"/>
        <w:jc w:val="both"/>
        <w:rPr>
          <w:rFonts w:ascii="仿宋" w:hAnsi="仿宋" w:eastAsia="仿宋" w:cs="仿宋"/>
          <w:b/>
          <w:bCs/>
          <w:color w:val="auto"/>
          <w:sz w:val="24"/>
          <w:szCs w:val="24"/>
        </w:rPr>
      </w:pPr>
      <w:r>
        <w:rPr>
          <w:rFonts w:hint="eastAsia" w:ascii="仿宋" w:hAnsi="仿宋" w:eastAsia="仿宋" w:cs="仿宋"/>
          <w:b/>
          <w:bCs/>
          <w:color w:val="auto"/>
          <w:sz w:val="24"/>
          <w:szCs w:val="24"/>
        </w:rPr>
        <w:t>四、技术技能</w:t>
      </w:r>
    </w:p>
    <w:p>
      <w:pPr>
        <w:kinsoku/>
        <w:adjustRightInd/>
        <w:spacing w:line="400" w:lineRule="exact"/>
        <w:ind w:firstLine="503"/>
        <w:jc w:val="both"/>
        <w:rPr>
          <w:rFonts w:ascii="仿宋" w:hAnsi="仿宋" w:eastAsia="仿宋" w:cs="仿宋"/>
          <w:color w:val="auto"/>
          <w:sz w:val="24"/>
          <w:szCs w:val="24"/>
        </w:rPr>
      </w:pPr>
      <w:r>
        <w:rPr>
          <w:rFonts w:hint="eastAsia" w:ascii="仿宋" w:hAnsi="仿宋" w:eastAsia="仿宋" w:cs="仿宋"/>
          <w:color w:val="auto"/>
          <w:sz w:val="24"/>
          <w:szCs w:val="24"/>
        </w:rPr>
        <w:t>技术技能主要包括英语、计算机、社会实践方面的能力。</w:t>
      </w:r>
    </w:p>
    <w:p>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（一）非英语专业的英语等级考试加分值</w:t>
      </w:r>
    </w:p>
    <w:tbl>
      <w:tblPr>
        <w:tblStyle w:val="3"/>
        <w:tblW w:w="5559" w:type="dxa"/>
        <w:jc w:val="center"/>
        <w:tblLayout w:type="autofit"/>
        <w:tblCellMar>
          <w:top w:w="0" w:type="dxa"/>
          <w:left w:w="108" w:type="dxa"/>
          <w:bottom w:w="0" w:type="dxa"/>
          <w:right w:w="108" w:type="dxa"/>
        </w:tblCellMar>
      </w:tblPr>
      <w:tblGrid>
        <w:gridCol w:w="1765"/>
        <w:gridCol w:w="1013"/>
        <w:gridCol w:w="1389"/>
        <w:gridCol w:w="1392"/>
      </w:tblGrid>
      <w:tr>
        <w:tblPrEx>
          <w:tblCellMar>
            <w:top w:w="0" w:type="dxa"/>
            <w:left w:w="108" w:type="dxa"/>
            <w:bottom w:w="0" w:type="dxa"/>
            <w:right w:w="108" w:type="dxa"/>
          </w:tblCellMar>
        </w:tblPrEx>
        <w:trPr>
          <w:trHeight w:val="412" w:hRule="atLeast"/>
          <w:jc w:val="center"/>
        </w:trPr>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djustRightInd/>
              <w:jc w:val="both"/>
              <w:textAlignment w:val="center"/>
              <w:rPr>
                <w:rFonts w:ascii="仿宋" w:hAnsi="仿宋" w:eastAsia="仿宋" w:cs="仿宋"/>
                <w:color w:val="auto"/>
                <w:sz w:val="24"/>
                <w:szCs w:val="24"/>
              </w:rPr>
            </w:pPr>
          </w:p>
        </w:tc>
        <w:tc>
          <w:tcPr>
            <w:tcW w:w="3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bdr w:val="single" w:color="000000" w:sz="4" w:space="0"/>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0</wp:posOffset>
                  </wp:positionV>
                  <wp:extent cx="10160" cy="10160"/>
                  <wp:effectExtent l="0" t="0" r="0" b="0"/>
                  <wp:wrapNone/>
                  <wp:docPr id="7" name="图片_2"/>
                  <wp:cNvGraphicFramePr/>
                  <a:graphic xmlns:a="http://schemas.openxmlformats.org/drawingml/2006/main">
                    <a:graphicData uri="http://schemas.openxmlformats.org/drawingml/2006/picture">
                      <pic:pic xmlns:pic="http://schemas.openxmlformats.org/drawingml/2006/picture">
                        <pic:nvPicPr>
                          <pic:cNvPr id="7" name="图片_2"/>
                          <pic:cNvPicPr/>
                        </pic:nvPicPr>
                        <pic:blipFill>
                          <a:blip r:embed="rId4"/>
                          <a:stretch>
                            <a:fillRect/>
                          </a:stretch>
                        </pic:blipFill>
                        <pic:spPr>
                          <a:xfrm>
                            <a:off x="0" y="0"/>
                            <a:ext cx="10160" cy="10160"/>
                          </a:xfrm>
                          <a:prstGeom prst="rect">
                            <a:avLst/>
                          </a:prstGeom>
                          <a:noFill/>
                          <a:ln>
                            <a:noFill/>
                          </a:ln>
                        </pic:spPr>
                      </pic:pic>
                    </a:graphicData>
                  </a:graphic>
                </wp:anchor>
              </w:drawing>
            </w:r>
            <w:r>
              <w:rPr>
                <w:rFonts w:hint="eastAsia" w:ascii="仿宋" w:hAnsi="仿宋" w:eastAsia="仿宋" w:cs="仿宋"/>
                <w:color w:val="auto"/>
                <w:sz w:val="24"/>
                <w:szCs w:val="24"/>
                <w:lang w:bidi="ar"/>
              </w:rPr>
              <w:t>一般本科专业</w:t>
            </w:r>
          </w:p>
        </w:tc>
      </w:tr>
      <w:tr>
        <w:tblPrEx>
          <w:tblCellMar>
            <w:top w:w="0" w:type="dxa"/>
            <w:left w:w="108" w:type="dxa"/>
            <w:bottom w:w="0" w:type="dxa"/>
            <w:right w:w="108" w:type="dxa"/>
          </w:tblCellMar>
        </w:tblPrEx>
        <w:trPr>
          <w:trHeight w:val="407" w:hRule="atLeast"/>
          <w:jc w:val="center"/>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insoku/>
              <w:adjustRightInd/>
              <w:jc w:val="both"/>
              <w:rPr>
                <w:rFonts w:ascii="仿宋" w:hAnsi="仿宋" w:eastAsia="仿宋" w:cs="仿宋"/>
                <w:color w:val="auto"/>
                <w:sz w:val="24"/>
                <w:szCs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四级</w:t>
            </w:r>
          </w:p>
        </w:tc>
        <w:tc>
          <w:tcPr>
            <w:tcW w:w="2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六级</w:t>
            </w:r>
          </w:p>
        </w:tc>
      </w:tr>
      <w:tr>
        <w:tblPrEx>
          <w:tblCellMar>
            <w:top w:w="0" w:type="dxa"/>
            <w:left w:w="108" w:type="dxa"/>
            <w:bottom w:w="0" w:type="dxa"/>
            <w:right w:w="108" w:type="dxa"/>
          </w:tblCellMar>
        </w:tblPrEx>
        <w:trPr>
          <w:trHeight w:val="407"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年级</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优秀</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通过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优秀</w:t>
            </w:r>
          </w:p>
        </w:tc>
      </w:tr>
      <w:tr>
        <w:tblPrEx>
          <w:tblCellMar>
            <w:top w:w="0" w:type="dxa"/>
            <w:left w:w="108" w:type="dxa"/>
            <w:bottom w:w="0" w:type="dxa"/>
            <w:right w:w="108" w:type="dxa"/>
          </w:tblCellMar>
        </w:tblPrEx>
        <w:trPr>
          <w:trHeight w:val="407"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一二年级</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1.5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2</w:t>
            </w:r>
          </w:p>
        </w:tc>
      </w:tr>
      <w:tr>
        <w:tblPrEx>
          <w:tblCellMar>
            <w:top w:w="0" w:type="dxa"/>
            <w:left w:w="108" w:type="dxa"/>
            <w:bottom w:w="0" w:type="dxa"/>
            <w:right w:w="108" w:type="dxa"/>
          </w:tblCellMar>
        </w:tblPrEx>
        <w:trPr>
          <w:trHeight w:val="419"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三四年级</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0.5</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1.5</w:t>
            </w:r>
          </w:p>
        </w:tc>
      </w:tr>
    </w:tbl>
    <w:p>
      <w:pPr>
        <w:kinsoku/>
        <w:adjustRightInd/>
        <w:spacing w:line="91" w:lineRule="auto"/>
        <w:jc w:val="both"/>
        <w:rPr>
          <w:rFonts w:ascii="仿宋" w:hAnsi="仿宋" w:eastAsia="仿宋" w:cs="仿宋"/>
          <w:color w:val="auto"/>
          <w:sz w:val="24"/>
          <w:szCs w:val="24"/>
        </w:rPr>
      </w:pPr>
    </w:p>
    <w:p>
      <w:pPr>
        <w:keepNext w:val="0"/>
        <w:keepLines w:val="0"/>
        <w:pageBreakBefore w:val="0"/>
        <w:widowControl/>
        <w:kinsoku/>
        <w:wordWrap/>
        <w:overflowPunct/>
        <w:topLinePunct w:val="0"/>
        <w:autoSpaceDE w:val="0"/>
        <w:autoSpaceDN w:val="0"/>
        <w:bidi w:val="0"/>
        <w:adjustRightInd/>
        <w:snapToGrid w:val="0"/>
        <w:spacing w:before="42" w:line="192" w:lineRule="auto"/>
        <w:ind w:left="0" w:leftChars="0" w:right="0" w:rightChars="0" w:firstLine="480" w:firstLineChars="200"/>
        <w:jc w:val="both"/>
        <w:textAlignment w:val="baseline"/>
        <w:outlineLvl w:val="9"/>
        <w:rPr>
          <w:rFonts w:hint="eastAsia" w:ascii="仿宋" w:hAnsi="仿宋" w:eastAsia="仿宋" w:cs="仿宋"/>
          <w:color w:val="auto"/>
          <w:sz w:val="24"/>
          <w:szCs w:val="24"/>
        </w:rPr>
      </w:pPr>
      <w:r>
        <w:rPr>
          <w:rFonts w:hint="eastAsia" w:ascii="仿宋" w:hAnsi="仿宋" w:eastAsia="仿宋" w:cs="仿宋"/>
          <w:color w:val="auto"/>
          <w:sz w:val="24"/>
          <w:szCs w:val="24"/>
        </w:rPr>
        <w:t>注：四级优秀为550分，六级优秀为520分。（</w:t>
      </w:r>
      <w:r>
        <w:rPr>
          <w:rFonts w:hint="eastAsia" w:ascii="仿宋" w:hAnsi="仿宋" w:eastAsia="仿宋" w:cs="仿宋"/>
          <w:color w:val="auto"/>
          <w:sz w:val="24"/>
          <w:szCs w:val="24"/>
          <w:lang w:eastAsia="zh-Hans"/>
        </w:rPr>
        <w:t>该项以最高通过等级计算</w:t>
      </w:r>
      <w:r>
        <w:rPr>
          <w:rFonts w:hint="eastAsia" w:ascii="仿宋" w:hAnsi="仿宋" w:eastAsia="仿宋" w:cs="仿宋"/>
          <w:color w:val="auto"/>
          <w:sz w:val="24"/>
          <w:szCs w:val="24"/>
        </w:rPr>
        <w:t>）</w:t>
      </w:r>
    </w:p>
    <w:p>
      <w:pPr>
        <w:keepNext w:val="0"/>
        <w:keepLines w:val="0"/>
        <w:pageBreakBefore w:val="0"/>
        <w:widowControl/>
        <w:kinsoku/>
        <w:wordWrap/>
        <w:overflowPunct/>
        <w:topLinePunct w:val="0"/>
        <w:autoSpaceDE w:val="0"/>
        <w:autoSpaceDN w:val="0"/>
        <w:bidi w:val="0"/>
        <w:adjustRightInd/>
        <w:snapToGrid w:val="0"/>
        <w:spacing w:before="42" w:line="192" w:lineRule="auto"/>
        <w:ind w:left="0" w:leftChars="0" w:right="0" w:rightChars="0" w:firstLine="480" w:firstLineChars="200"/>
        <w:jc w:val="both"/>
        <w:textAlignment w:val="baseline"/>
        <w:outlineLvl w:val="9"/>
        <w:rPr>
          <w:rFonts w:hint="eastAsia" w:ascii="仿宋" w:hAnsi="仿宋" w:eastAsia="仿宋" w:cs="仿宋"/>
          <w:color w:val="auto"/>
          <w:sz w:val="24"/>
          <w:szCs w:val="24"/>
        </w:rPr>
      </w:pPr>
    </w:p>
    <w:p>
      <w:pPr>
        <w:keepNext w:val="0"/>
        <w:keepLines w:val="0"/>
        <w:pageBreakBefore w:val="0"/>
        <w:widowControl/>
        <w:kinsoku/>
        <w:wordWrap/>
        <w:overflowPunct/>
        <w:topLinePunct w:val="0"/>
        <w:autoSpaceDE w:val="0"/>
        <w:autoSpaceDN w:val="0"/>
        <w:bidi w:val="0"/>
        <w:adjustRightInd/>
        <w:snapToGrid w:val="0"/>
        <w:spacing w:before="42" w:line="192" w:lineRule="auto"/>
        <w:ind w:left="0" w:leftChars="0" w:right="0" w:rightChars="0" w:firstLine="480" w:firstLineChars="200"/>
        <w:jc w:val="both"/>
        <w:textAlignment w:val="baseline"/>
        <w:outlineLvl w:val="9"/>
        <w:rPr>
          <w:rFonts w:hint="eastAsia" w:ascii="仿宋" w:hAnsi="仿宋" w:eastAsia="仿宋" w:cs="仿宋"/>
          <w:color w:val="auto"/>
          <w:sz w:val="24"/>
          <w:szCs w:val="24"/>
        </w:rPr>
      </w:pPr>
    </w:p>
    <w:p>
      <w:pPr>
        <w:keepNext w:val="0"/>
        <w:keepLines w:val="0"/>
        <w:pageBreakBefore w:val="0"/>
        <w:widowControl/>
        <w:kinsoku/>
        <w:wordWrap/>
        <w:overflowPunct/>
        <w:topLinePunct w:val="0"/>
        <w:autoSpaceDE w:val="0"/>
        <w:autoSpaceDN w:val="0"/>
        <w:bidi w:val="0"/>
        <w:adjustRightInd/>
        <w:snapToGrid w:val="0"/>
        <w:spacing w:before="42" w:line="192" w:lineRule="auto"/>
        <w:ind w:left="0" w:leftChars="0" w:right="0" w:rightChars="0" w:firstLine="480" w:firstLineChars="200"/>
        <w:jc w:val="both"/>
        <w:textAlignment w:val="baseline"/>
        <w:outlineLvl w:val="9"/>
        <w:rPr>
          <w:rFonts w:hint="eastAsia" w:ascii="仿宋" w:hAnsi="仿宋" w:eastAsia="仿宋" w:cs="仿宋"/>
          <w:color w:val="auto"/>
          <w:sz w:val="24"/>
          <w:szCs w:val="24"/>
        </w:rPr>
      </w:pPr>
    </w:p>
    <w:p>
      <w:pPr>
        <w:numPr>
          <w:ilvl w:val="0"/>
          <w:numId w:val="2"/>
        </w:numPr>
        <w:kinsoku/>
        <w:adjustRightInd/>
        <w:spacing w:before="312" w:line="237" w:lineRule="exact"/>
        <w:ind w:firstLine="508"/>
        <w:jc w:val="both"/>
        <w:rPr>
          <w:rFonts w:hint="eastAsia" w:ascii="仿宋" w:hAnsi="仿宋" w:eastAsia="仿宋" w:cs="仿宋"/>
          <w:color w:val="auto"/>
          <w:position w:val="-1"/>
          <w:sz w:val="24"/>
          <w:szCs w:val="24"/>
        </w:rPr>
      </w:pPr>
      <w:r>
        <w:rPr>
          <w:rFonts w:hint="eastAsia" w:ascii="仿宋" w:hAnsi="仿宋" w:eastAsia="仿宋" w:cs="仿宋"/>
          <w:color w:val="auto"/>
          <w:position w:val="-1"/>
          <w:sz w:val="24"/>
          <w:szCs w:val="24"/>
        </w:rPr>
        <w:t>非计算机专业的计算机等级考试加分值</w:t>
      </w:r>
    </w:p>
    <w:tbl>
      <w:tblPr>
        <w:tblStyle w:val="3"/>
        <w:tblpPr w:leftFromText="180" w:rightFromText="180" w:vertAnchor="text" w:horzAnchor="page" w:tblpX="1763" w:tblpY="464"/>
        <w:tblOverlap w:val="never"/>
        <w:tblW w:w="8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65"/>
        <w:gridCol w:w="921"/>
        <w:gridCol w:w="922"/>
        <w:gridCol w:w="921"/>
        <w:gridCol w:w="922"/>
        <w:gridCol w:w="921"/>
        <w:gridCol w:w="922"/>
        <w:gridCol w:w="921"/>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科别</w:t>
            </w:r>
          </w:p>
        </w:tc>
        <w:tc>
          <w:tcPr>
            <w:tcW w:w="7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文科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等级</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一级</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二级</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三级</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i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合格</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优秀</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合格</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优秀</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合格</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优秀</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合格</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一年级</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1.5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2</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2.5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3.5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二年级</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0.5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1.5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3</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3.5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4.5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snapToGrid w:val="0"/>
                <w:color w:val="000000"/>
                <w:kern w:val="0"/>
                <w:sz w:val="24"/>
                <w:szCs w:val="24"/>
                <w:u w:val="none"/>
                <w:lang w:val="en-US" w:eastAsia="zh-CN" w:bidi="ar"/>
              </w:rPr>
              <w:t>三四年级</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0.5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1.5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2.5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snapToGrid w:val="0"/>
                <w:color w:val="000000"/>
                <w:kern w:val="0"/>
                <w:sz w:val="24"/>
                <w:szCs w:val="24"/>
                <w:u w:val="none"/>
                <w:lang w:val="en-US" w:eastAsia="zh-CN" w:bidi="ar"/>
              </w:rPr>
              <w:t>4.5</w:t>
            </w:r>
          </w:p>
        </w:tc>
      </w:tr>
    </w:tbl>
    <w:p>
      <w:pPr>
        <w:kinsoku/>
        <w:adjustRightInd/>
        <w:spacing w:line="400" w:lineRule="exact"/>
        <w:ind w:firstLine="514"/>
        <w:jc w:val="both"/>
        <w:outlineLvl w:val="0"/>
        <w:rPr>
          <w:rFonts w:ascii="仿宋" w:hAnsi="仿宋" w:eastAsia="仿宋" w:cs="仿宋"/>
          <w:color w:val="auto"/>
          <w:sz w:val="24"/>
          <w:szCs w:val="24"/>
          <w14:textOutline w14:w="4356" w14:cap="flat" w14:cmpd="sng" w14:algn="ctr">
            <w14:solidFill>
              <w14:srgbClr w14:val="000000"/>
            </w14:solidFill>
            <w14:prstDash w14:val="solid"/>
            <w14:miter w14:val="0"/>
          </w14:textOutline>
        </w:rPr>
      </w:pPr>
    </w:p>
    <w:p>
      <w:pPr>
        <w:kinsoku/>
        <w:adjustRightInd/>
        <w:spacing w:line="400" w:lineRule="exact"/>
        <w:ind w:firstLine="514"/>
        <w:jc w:val="both"/>
        <w:outlineLvl w:val="0"/>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pPr>
    </w:p>
    <w:p>
      <w:pPr>
        <w:kinsoku/>
        <w:adjustRightInd/>
        <w:spacing w:line="400" w:lineRule="exact"/>
        <w:ind w:firstLine="514"/>
        <w:jc w:val="both"/>
        <w:outlineLvl w:val="0"/>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pPr>
    </w:p>
    <w:p>
      <w:pPr>
        <w:kinsoku/>
        <w:adjustRightInd/>
        <w:spacing w:line="400" w:lineRule="exact"/>
        <w:ind w:firstLine="514"/>
        <w:jc w:val="both"/>
        <w:outlineLvl w:val="0"/>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pPr>
    </w:p>
    <w:p>
      <w:pPr>
        <w:kinsoku/>
        <w:adjustRightInd/>
        <w:spacing w:line="400" w:lineRule="exact"/>
        <w:ind w:firstLine="514"/>
        <w:jc w:val="both"/>
        <w:outlineLvl w:val="0"/>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pPr>
    </w:p>
    <w:p>
      <w:pPr>
        <w:kinsoku/>
        <w:adjustRightInd/>
        <w:spacing w:line="400" w:lineRule="exact"/>
        <w:ind w:firstLine="514"/>
        <w:jc w:val="both"/>
        <w:outlineLvl w:val="0"/>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pPr>
    </w:p>
    <w:p>
      <w:pPr>
        <w:kinsoku/>
        <w:adjustRightInd/>
        <w:spacing w:line="400" w:lineRule="exact"/>
        <w:ind w:firstLine="514"/>
        <w:jc w:val="both"/>
        <w:outlineLvl w:val="0"/>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pPr>
    </w:p>
    <w:p>
      <w:pPr>
        <w:kinsoku/>
        <w:adjustRightInd/>
        <w:spacing w:line="400" w:lineRule="exact"/>
        <w:ind w:firstLine="514"/>
        <w:jc w:val="both"/>
        <w:outlineLvl w:val="0"/>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pPr>
    </w:p>
    <w:p>
      <w:pPr>
        <w:kinsoku/>
        <w:adjustRightInd/>
        <w:spacing w:line="400" w:lineRule="exact"/>
        <w:ind w:firstLine="514"/>
        <w:jc w:val="both"/>
        <w:outlineLvl w:val="0"/>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五、体育类</w:t>
      </w:r>
    </w:p>
    <w:p>
      <w:pPr>
        <w:kinsoku/>
        <w:adjustRightInd/>
        <w:spacing w:line="400" w:lineRule="exact"/>
        <w:ind w:left="27" w:right="119" w:firstLine="495"/>
        <w:jc w:val="both"/>
        <w:rPr>
          <w:rFonts w:ascii="仿宋" w:hAnsi="仿宋" w:eastAsia="仿宋" w:cs="仿宋"/>
          <w:color w:val="auto"/>
          <w:sz w:val="24"/>
          <w:szCs w:val="24"/>
        </w:rPr>
      </w:pPr>
      <w:r>
        <w:rPr>
          <w:rFonts w:hint="eastAsia" w:ascii="仿宋" w:hAnsi="仿宋" w:eastAsia="仿宋" w:cs="仿宋"/>
          <w:color w:val="auto"/>
          <w:sz w:val="24"/>
          <w:szCs w:val="24"/>
        </w:rPr>
        <w:t>国家级运动会或正式体育赛事，取得前八名成绩运动员加5分；北京市级运动会或正式体育赛事取得前六名成绩运动员加3分；校运动会获前三名成绩运动员加1分，</w:t>
      </w:r>
      <w:r>
        <w:rPr>
          <w:rFonts w:hint="eastAsia" w:ascii="仿宋" w:hAnsi="仿宋" w:eastAsia="仿宋" w:cs="仿宋"/>
          <w:color w:val="auto"/>
          <w:sz w:val="24"/>
          <w:szCs w:val="24"/>
          <w:u w:val="none"/>
        </w:rPr>
        <w:t>四到八名加0.5分。</w:t>
      </w:r>
      <w:r>
        <w:rPr>
          <w:rFonts w:hint="eastAsia" w:ascii="仿宋" w:hAnsi="仿宋" w:eastAsia="仿宋" w:cs="仿宋"/>
          <w:color w:val="auto"/>
          <w:sz w:val="24"/>
          <w:szCs w:val="24"/>
        </w:rPr>
        <w:t>此项成绩不迭加，以最高单项分值计算。</w:t>
      </w:r>
    </w:p>
    <w:p>
      <w:pPr>
        <w:kinsoku/>
        <w:adjustRightInd/>
        <w:spacing w:line="400" w:lineRule="exact"/>
        <w:ind w:firstLine="509"/>
        <w:jc w:val="both"/>
        <w:outlineLvl w:val="0"/>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六、文艺类</w:t>
      </w:r>
    </w:p>
    <w:p>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rPr>
        <w:t>文艺特长</w:t>
      </w:r>
    </w:p>
    <w:p>
      <w:pPr>
        <w:kinsoku/>
        <w:adjustRightInd/>
        <w:spacing w:line="400" w:lineRule="exact"/>
        <w:ind w:left="28" w:firstLine="477"/>
        <w:jc w:val="both"/>
        <w:rPr>
          <w:rFonts w:ascii="仿宋" w:hAnsi="仿宋" w:eastAsia="仿宋" w:cs="仿宋"/>
          <w:color w:val="auto"/>
          <w:sz w:val="24"/>
          <w:szCs w:val="24"/>
        </w:rPr>
      </w:pPr>
      <w:r>
        <w:rPr>
          <w:rFonts w:hint="eastAsia" w:ascii="仿宋" w:hAnsi="仿宋" w:eastAsia="仿宋" w:cs="仿宋"/>
          <w:color w:val="auto"/>
          <w:sz w:val="24"/>
          <w:szCs w:val="24"/>
        </w:rPr>
        <w:t>在全国大学生艺术节上获一、二、三等奖的，加5分；在北京市大学生艺术节上获一、二、三等奖的，加3分；在校大学生艺术节上获一、二、三等奖的，加1分（</w:t>
      </w:r>
      <w:r>
        <w:rPr>
          <w:rFonts w:hint="eastAsia" w:ascii="仿宋" w:hAnsi="仿宋" w:eastAsia="仿宋" w:cs="仿宋"/>
          <w:color w:val="auto"/>
          <w:sz w:val="24"/>
          <w:szCs w:val="24"/>
          <w:u w:val="none"/>
        </w:rPr>
        <w:t>如校啦啦操比赛、团体操、129合唱比赛等</w:t>
      </w:r>
      <w:r>
        <w:rPr>
          <w:rFonts w:hint="eastAsia" w:ascii="仿宋" w:hAnsi="仿宋" w:eastAsia="仿宋" w:cs="仿宋"/>
          <w:color w:val="auto"/>
          <w:sz w:val="24"/>
          <w:szCs w:val="24"/>
        </w:rPr>
        <w:t>）；此项成绩不迭加，以最高单项分值计算。（</w:t>
      </w:r>
      <w:r>
        <w:rPr>
          <w:rFonts w:hint="eastAsia" w:ascii="仿宋" w:hAnsi="仿宋" w:eastAsia="仿宋" w:cs="仿宋"/>
          <w:color w:val="auto"/>
          <w:sz w:val="24"/>
          <w:szCs w:val="24"/>
          <w:lang w:eastAsia="zh-Hans"/>
        </w:rPr>
        <w:t>以负责老师出具说明为准，需签字盖章</w:t>
      </w:r>
      <w:r>
        <w:rPr>
          <w:rFonts w:hint="eastAsia" w:ascii="仿宋" w:hAnsi="仿宋" w:eastAsia="仿宋" w:cs="仿宋"/>
          <w:color w:val="auto"/>
          <w:sz w:val="24"/>
          <w:szCs w:val="24"/>
        </w:rPr>
        <w:t>）</w:t>
      </w:r>
    </w:p>
    <w:p>
      <w:pPr>
        <w:kinsoku/>
        <w:adjustRightInd/>
        <w:spacing w:line="400" w:lineRule="exact"/>
        <w:ind w:firstLine="512"/>
        <w:jc w:val="both"/>
        <w:outlineLvl w:val="0"/>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七、组织管理能力</w:t>
      </w:r>
    </w:p>
    <w:p>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（一）对学生干部进行统一管理，分级考核。</w:t>
      </w:r>
    </w:p>
    <w:p>
      <w:pPr>
        <w:kinsoku/>
        <w:adjustRightInd/>
        <w:spacing w:line="108" w:lineRule="auto"/>
        <w:jc w:val="both"/>
        <w:rPr>
          <w:rFonts w:ascii="仿宋" w:hAnsi="仿宋" w:eastAsia="仿宋" w:cs="仿宋"/>
          <w:color w:val="auto"/>
          <w:sz w:val="24"/>
          <w:szCs w:val="24"/>
        </w:rPr>
      </w:pPr>
    </w:p>
    <w:tbl>
      <w:tblPr>
        <w:tblStyle w:val="3"/>
        <w:tblW w:w="7087" w:type="dxa"/>
        <w:jc w:val="center"/>
        <w:tblLayout w:type="fixed"/>
        <w:tblCellMar>
          <w:top w:w="0" w:type="dxa"/>
          <w:left w:w="0" w:type="dxa"/>
          <w:bottom w:w="0" w:type="dxa"/>
          <w:right w:w="0" w:type="dxa"/>
        </w:tblCellMar>
      </w:tblPr>
      <w:tblGrid>
        <w:gridCol w:w="1134"/>
        <w:gridCol w:w="5953"/>
      </w:tblGrid>
      <w:tr>
        <w:tblPrEx>
          <w:tblCellMar>
            <w:top w:w="0" w:type="dxa"/>
            <w:left w:w="0" w:type="dxa"/>
            <w:bottom w:w="0" w:type="dxa"/>
            <w:right w:w="0" w:type="dxa"/>
          </w:tblCellMar>
        </w:tblPrEx>
        <w:trPr>
          <w:trHeight w:val="680"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insoku/>
              <w:adjustRightInd/>
              <w:jc w:val="both"/>
              <w:rPr>
                <w:rFonts w:ascii="仿宋" w:hAnsi="仿宋" w:eastAsia="仿宋" w:cs="仿宋"/>
                <w:b/>
                <w:bCs/>
                <w:color w:val="auto"/>
                <w:sz w:val="24"/>
                <w:szCs w:val="24"/>
              </w:rPr>
            </w:pPr>
            <w:r>
              <w:rPr>
                <w:rFonts w:hint="eastAsia" w:ascii="仿宋" w:hAnsi="仿宋" w:eastAsia="仿宋" w:cs="仿宋"/>
                <w:b/>
                <w:bCs/>
                <w:color w:val="auto"/>
                <w:sz w:val="24"/>
                <w:szCs w:val="24"/>
              </w:rPr>
              <w:t>加分</w:t>
            </w:r>
          </w:p>
        </w:tc>
        <w:tc>
          <w:tcPr>
            <w:tcW w:w="59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insoku/>
              <w:adjustRightInd/>
              <w:jc w:val="both"/>
              <w:rPr>
                <w:rFonts w:ascii="仿宋" w:hAnsi="仿宋" w:eastAsia="仿宋" w:cs="仿宋"/>
                <w:b/>
                <w:bCs/>
                <w:color w:val="auto"/>
                <w:sz w:val="24"/>
                <w:szCs w:val="24"/>
              </w:rPr>
            </w:pPr>
            <w:r>
              <w:rPr>
                <w:rFonts w:hint="eastAsia" w:ascii="仿宋" w:hAnsi="仿宋" w:eastAsia="仿宋" w:cs="仿宋"/>
                <w:b/>
                <w:bCs/>
                <w:color w:val="auto"/>
                <w:sz w:val="24"/>
                <w:szCs w:val="24"/>
              </w:rPr>
              <w:t>职务</w:t>
            </w:r>
          </w:p>
        </w:tc>
      </w:tr>
      <w:tr>
        <w:tblPrEx>
          <w:tblCellMar>
            <w:top w:w="0" w:type="dxa"/>
            <w:left w:w="0" w:type="dxa"/>
            <w:bottom w:w="0" w:type="dxa"/>
            <w:right w:w="0" w:type="dxa"/>
          </w:tblCellMar>
        </w:tblPrEx>
        <w:trPr>
          <w:trHeight w:val="680"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insoku/>
              <w:adjustRightInd/>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59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insoku/>
              <w:adjustRightInd/>
              <w:jc w:val="both"/>
              <w:rPr>
                <w:rFonts w:ascii="仿宋" w:hAnsi="仿宋" w:eastAsia="仿宋" w:cs="仿宋"/>
                <w:color w:val="auto"/>
                <w:sz w:val="24"/>
                <w:szCs w:val="24"/>
              </w:rPr>
            </w:pPr>
            <w:r>
              <w:rPr>
                <w:rFonts w:hint="eastAsia" w:ascii="仿宋" w:hAnsi="仿宋" w:eastAsia="仿宋" w:cs="仿宋"/>
                <w:color w:val="auto"/>
                <w:sz w:val="24"/>
                <w:szCs w:val="24"/>
                <w:lang w:eastAsia="zh-Hans"/>
              </w:rPr>
              <w:t>党支委</w:t>
            </w:r>
            <w:r>
              <w:rPr>
                <w:rFonts w:hint="eastAsia" w:ascii="仿宋" w:hAnsi="仿宋" w:eastAsia="仿宋" w:cs="仿宋"/>
                <w:color w:val="auto"/>
                <w:sz w:val="24"/>
                <w:szCs w:val="24"/>
              </w:rPr>
              <w:t>、团学组织主席团成员、</w:t>
            </w:r>
            <w:r>
              <w:rPr>
                <w:rFonts w:hint="eastAsia" w:ascii="仿宋" w:hAnsi="仿宋" w:eastAsia="仿宋" w:cs="仿宋"/>
                <w:color w:val="auto"/>
                <w:sz w:val="24"/>
                <w:szCs w:val="24"/>
                <w:lang w:eastAsia="zh-Hans"/>
              </w:rPr>
              <w:t>班导生</w:t>
            </w:r>
            <w:r>
              <w:rPr>
                <w:rFonts w:hint="eastAsia" w:ascii="仿宋" w:hAnsi="仿宋" w:eastAsia="仿宋" w:cs="仿宋"/>
                <w:color w:val="auto"/>
                <w:sz w:val="24"/>
                <w:szCs w:val="24"/>
              </w:rPr>
              <w:t>、社团负责人</w:t>
            </w:r>
          </w:p>
        </w:tc>
      </w:tr>
      <w:tr>
        <w:tblPrEx>
          <w:tblCellMar>
            <w:top w:w="0" w:type="dxa"/>
            <w:left w:w="0" w:type="dxa"/>
            <w:bottom w:w="0" w:type="dxa"/>
            <w:right w:w="0" w:type="dxa"/>
          </w:tblCellMar>
        </w:tblPrEx>
        <w:trPr>
          <w:trHeight w:val="680"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insoku/>
              <w:adjustRightInd/>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59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insoku/>
              <w:adjustRightInd/>
              <w:spacing w:before="209" w:line="194" w:lineRule="auto"/>
              <w:jc w:val="both"/>
              <w:rPr>
                <w:rFonts w:ascii="仿宋" w:hAnsi="仿宋" w:eastAsia="仿宋" w:cs="仿宋"/>
                <w:color w:val="auto"/>
                <w:sz w:val="24"/>
                <w:szCs w:val="24"/>
              </w:rPr>
            </w:pPr>
            <w:r>
              <w:rPr>
                <w:rFonts w:hint="eastAsia" w:ascii="仿宋" w:hAnsi="仿宋" w:eastAsia="仿宋" w:cs="仿宋"/>
                <w:color w:val="auto"/>
                <w:sz w:val="24"/>
                <w:szCs w:val="24"/>
                <w:lang w:eastAsia="zh-Hans"/>
              </w:rPr>
              <w:t>正副</w:t>
            </w:r>
            <w:r>
              <w:rPr>
                <w:rFonts w:hint="eastAsia" w:ascii="仿宋" w:hAnsi="仿宋" w:eastAsia="仿宋" w:cs="仿宋"/>
                <w:color w:val="auto"/>
                <w:sz w:val="24"/>
                <w:szCs w:val="24"/>
              </w:rPr>
              <w:t>部长、班级班长、团支书、学习</w:t>
            </w:r>
            <w:r>
              <w:rPr>
                <w:rFonts w:hint="eastAsia" w:ascii="仿宋" w:hAnsi="仿宋" w:eastAsia="仿宋" w:cs="仿宋"/>
                <w:color w:val="auto"/>
                <w:sz w:val="24"/>
                <w:szCs w:val="24"/>
                <w:lang w:eastAsia="zh-Hans"/>
              </w:rPr>
              <w:t>委员、社团副部长</w:t>
            </w:r>
          </w:p>
        </w:tc>
      </w:tr>
      <w:tr>
        <w:tblPrEx>
          <w:tblCellMar>
            <w:top w:w="0" w:type="dxa"/>
            <w:left w:w="0" w:type="dxa"/>
            <w:bottom w:w="0" w:type="dxa"/>
            <w:right w:w="0" w:type="dxa"/>
          </w:tblCellMar>
        </w:tblPrEx>
        <w:trPr>
          <w:trHeight w:val="680"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insoku/>
              <w:adjustRightInd/>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59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insoku/>
              <w:adjustRightInd/>
              <w:jc w:val="both"/>
              <w:rPr>
                <w:rFonts w:ascii="仿宋" w:hAnsi="仿宋" w:eastAsia="仿宋" w:cs="仿宋"/>
                <w:color w:val="auto"/>
                <w:sz w:val="24"/>
                <w:szCs w:val="24"/>
                <w:lang w:eastAsia="zh-Hans"/>
              </w:rPr>
            </w:pPr>
            <w:r>
              <w:rPr>
                <w:rFonts w:hint="eastAsia" w:ascii="仿宋" w:hAnsi="仿宋" w:eastAsia="仿宋" w:cs="仿宋"/>
                <w:color w:val="auto"/>
                <w:sz w:val="24"/>
                <w:szCs w:val="24"/>
                <w:lang w:eastAsia="zh-Hans"/>
              </w:rPr>
              <w:t>班级其他委员</w:t>
            </w:r>
          </w:p>
        </w:tc>
      </w:tr>
    </w:tbl>
    <w:p>
      <w:pPr>
        <w:kinsoku/>
        <w:adjustRightInd/>
        <w:spacing w:before="41" w:line="194" w:lineRule="auto"/>
        <w:jc w:val="both"/>
        <w:rPr>
          <w:rFonts w:ascii="仿宋" w:hAnsi="仿宋" w:eastAsia="仿宋" w:cs="仿宋"/>
          <w:color w:val="auto"/>
          <w:sz w:val="24"/>
          <w:szCs w:val="24"/>
          <w:u w:val="single"/>
        </w:rPr>
      </w:pPr>
    </w:p>
    <w:p>
      <w:pPr>
        <w:kinsoku/>
        <w:adjustRightInd/>
        <w:spacing w:line="400" w:lineRule="exact"/>
        <w:ind w:left="27" w:right="119" w:firstLine="495"/>
        <w:jc w:val="both"/>
        <w:rPr>
          <w:rFonts w:ascii="仿宋" w:hAnsi="仿宋" w:eastAsia="仿宋" w:cs="仿宋"/>
          <w:color w:val="auto"/>
          <w:sz w:val="24"/>
          <w:szCs w:val="24"/>
          <w:highlight w:val="yellow"/>
        </w:rPr>
      </w:pPr>
      <w:r>
        <w:rPr>
          <w:rFonts w:hint="eastAsia" w:ascii="仿宋" w:hAnsi="仿宋" w:eastAsia="仿宋" w:cs="仿宋"/>
          <w:color w:val="auto"/>
          <w:sz w:val="24"/>
          <w:szCs w:val="24"/>
        </w:rPr>
        <w:t>注：1、学生干部职务加分必须是在测评学期内所担任的职务；2、国旗班</w:t>
      </w:r>
      <w:r>
        <w:rPr>
          <w:rFonts w:hint="eastAsia" w:ascii="仿宋" w:hAnsi="仿宋" w:eastAsia="仿宋" w:cs="仿宋"/>
          <w:color w:val="auto"/>
          <w:sz w:val="24"/>
          <w:szCs w:val="24"/>
          <w:lang w:eastAsia="zh-Hans"/>
        </w:rPr>
        <w:t>班干部按照</w:t>
      </w:r>
      <w:r>
        <w:rPr>
          <w:rFonts w:hint="eastAsia" w:ascii="仿宋" w:hAnsi="仿宋" w:eastAsia="仿宋" w:cs="仿宋"/>
          <w:color w:val="auto"/>
          <w:sz w:val="24"/>
          <w:szCs w:val="24"/>
        </w:rPr>
        <w:t>社团的标准加分；3、学生干部加分取最高。</w:t>
      </w:r>
    </w:p>
    <w:p>
      <w:pPr>
        <w:kinsoku/>
        <w:adjustRightInd/>
        <w:spacing w:line="400" w:lineRule="exact"/>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Hans"/>
        </w:rPr>
        <w:t>二</w:t>
      </w:r>
      <w:r>
        <w:rPr>
          <w:rFonts w:hint="eastAsia" w:ascii="仿宋" w:hAnsi="仿宋" w:eastAsia="仿宋" w:cs="仿宋"/>
          <w:color w:val="auto"/>
          <w:sz w:val="24"/>
          <w:szCs w:val="24"/>
        </w:rPr>
        <w:t>）被评为校、市、国家级三好学生、优秀学生干部、优秀团干部、优秀团员称号者，加分标准分别为3、4、5分</w:t>
      </w:r>
      <w:r>
        <w:rPr>
          <w:rFonts w:hint="eastAsia" w:ascii="仿宋" w:hAnsi="仿宋" w:eastAsia="仿宋" w:cs="仿宋"/>
          <w:color w:val="auto"/>
          <w:sz w:val="24"/>
          <w:szCs w:val="24"/>
          <w:u w:val="none"/>
        </w:rPr>
        <w:t>；被评为学院卓越商才奖的加2分；被评为学院卓越贡献奖、社会工作奖等加1分（</w:t>
      </w:r>
      <w:r>
        <w:rPr>
          <w:rFonts w:hint="eastAsia" w:ascii="仿宋" w:hAnsi="仿宋" w:eastAsia="仿宋" w:cs="仿宋"/>
          <w:color w:val="auto"/>
          <w:sz w:val="24"/>
          <w:szCs w:val="24"/>
        </w:rPr>
        <w:t>此项以最高分计，与考核等级不重复加分，</w:t>
      </w:r>
      <w:r>
        <w:rPr>
          <w:rFonts w:hint="eastAsia" w:ascii="仿宋" w:hAnsi="仿宋" w:eastAsia="仿宋" w:cs="仿宋"/>
          <w:color w:val="auto"/>
          <w:sz w:val="24"/>
          <w:szCs w:val="24"/>
          <w:lang w:eastAsia="zh-Hans"/>
        </w:rPr>
        <w:t>即单项以最高分计，不累加，不同类型荣誉可累加</w:t>
      </w:r>
      <w:r>
        <w:rPr>
          <w:rFonts w:hint="eastAsia" w:ascii="仿宋" w:hAnsi="仿宋" w:eastAsia="仿宋" w:cs="仿宋"/>
          <w:color w:val="auto"/>
          <w:sz w:val="24"/>
          <w:szCs w:val="24"/>
        </w:rPr>
        <w:t>）。</w:t>
      </w:r>
    </w:p>
    <w:p>
      <w:pPr>
        <w:kinsoku/>
        <w:adjustRightInd/>
        <w:spacing w:line="400" w:lineRule="exact"/>
        <w:ind w:firstLine="504"/>
        <w:jc w:val="both"/>
        <w:outlineLvl w:val="0"/>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八、特殊类</w:t>
      </w:r>
    </w:p>
    <w:p>
      <w:pPr>
        <w:kinsoku/>
        <w:adjustRightInd/>
        <w:spacing w:line="400" w:lineRule="exact"/>
        <w:ind w:left="28" w:right="130" w:firstLine="437"/>
        <w:jc w:val="both"/>
        <w:rPr>
          <w:rFonts w:ascii="仿宋" w:hAnsi="仿宋" w:eastAsia="仿宋" w:cs="仿宋"/>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lang w:eastAsia="zh-Hans"/>
        </w:rPr>
        <w:t>学年内被评为五星宿舍加1分，</w:t>
      </w:r>
      <w:r>
        <w:rPr>
          <w:rFonts w:hint="eastAsia" w:ascii="仿宋" w:hAnsi="仿宋" w:eastAsia="仿宋" w:cs="仿宋"/>
          <w:color w:val="auto"/>
          <w:sz w:val="24"/>
          <w:szCs w:val="24"/>
        </w:rPr>
        <w:t>学年内被评为校级文明宿舍的加0.5分。</w:t>
      </w:r>
    </w:p>
    <w:p>
      <w:pPr>
        <w:kinsoku/>
        <w:adjustRightInd/>
        <w:spacing w:line="400" w:lineRule="exact"/>
        <w:ind w:left="28" w:firstLine="437"/>
        <w:jc w:val="both"/>
        <w:rPr>
          <w:rFonts w:ascii="仿宋" w:hAnsi="仿宋" w:eastAsia="仿宋" w:cs="仿宋"/>
          <w:color w:val="auto"/>
          <w:sz w:val="24"/>
          <w:szCs w:val="24"/>
        </w:rPr>
      </w:pPr>
      <w:r>
        <w:rPr>
          <w:rFonts w:hint="eastAsia" w:ascii="仿宋" w:hAnsi="仿宋" w:eastAsia="仿宋" w:cs="仿宋"/>
          <w:color w:val="auto"/>
          <w:sz w:val="24"/>
          <w:szCs w:val="24"/>
        </w:rPr>
        <w:t>（二）参加无偿献血者（</w:t>
      </w:r>
      <w:r>
        <w:rPr>
          <w:rFonts w:hint="eastAsia" w:ascii="仿宋" w:hAnsi="仿宋" w:eastAsia="仿宋" w:cs="仿宋"/>
          <w:color w:val="auto"/>
          <w:sz w:val="24"/>
          <w:szCs w:val="24"/>
          <w:lang w:eastAsia="zh-Hans"/>
        </w:rPr>
        <w:t>含成分血</w:t>
      </w:r>
      <w:r>
        <w:rPr>
          <w:rFonts w:hint="eastAsia" w:ascii="仿宋" w:hAnsi="仿宋" w:eastAsia="仿宋" w:cs="仿宋"/>
          <w:color w:val="auto"/>
          <w:sz w:val="24"/>
          <w:szCs w:val="24"/>
        </w:rPr>
        <w:t>），加2分；在校期间多次参加无偿献血者（二次以上），加3分。</w:t>
      </w:r>
    </w:p>
    <w:p>
      <w:pPr>
        <w:kinsoku/>
        <w:adjustRightInd/>
        <w:spacing w:line="400" w:lineRule="exact"/>
        <w:ind w:left="27" w:right="145" w:firstLine="438"/>
        <w:jc w:val="both"/>
        <w:rPr>
          <w:rFonts w:ascii="仿宋" w:hAnsi="仿宋" w:eastAsia="仿宋" w:cs="仿宋"/>
          <w:color w:val="auto"/>
          <w:sz w:val="24"/>
          <w:szCs w:val="24"/>
        </w:rPr>
      </w:pPr>
      <w:r>
        <w:rPr>
          <w:rFonts w:hint="eastAsia" w:ascii="仿宋" w:hAnsi="仿宋" w:eastAsia="仿宋" w:cs="仿宋"/>
          <w:color w:val="auto"/>
          <w:sz w:val="24"/>
          <w:szCs w:val="24"/>
        </w:rPr>
        <w:t>（三）积极参加暑期社会实践</w:t>
      </w:r>
      <w:r>
        <w:rPr>
          <w:rFonts w:hint="eastAsia" w:ascii="仿宋" w:hAnsi="仿宋" w:eastAsia="仿宋" w:cs="仿宋"/>
          <w:color w:val="auto"/>
          <w:sz w:val="24"/>
          <w:szCs w:val="24"/>
          <w:lang w:eastAsia="zh-Hans"/>
        </w:rPr>
        <w:t>并结项</w:t>
      </w:r>
      <w:r>
        <w:rPr>
          <w:rFonts w:hint="eastAsia" w:ascii="仿宋" w:hAnsi="仿宋" w:eastAsia="仿宋" w:cs="仿宋"/>
          <w:color w:val="auto"/>
          <w:sz w:val="24"/>
          <w:szCs w:val="24"/>
        </w:rPr>
        <w:t>，负责人加2分，成员每人加1分。</w:t>
      </w:r>
    </w:p>
    <w:p>
      <w:pPr>
        <w:kinsoku/>
        <w:adjustRightInd/>
        <w:spacing w:line="400" w:lineRule="exact"/>
        <w:ind w:left="24" w:right="31" w:firstLine="441"/>
        <w:jc w:val="both"/>
        <w:rPr>
          <w:rFonts w:ascii="仿宋" w:hAnsi="仿宋" w:eastAsia="仿宋" w:cs="仿宋"/>
          <w:color w:val="auto"/>
          <w:sz w:val="24"/>
          <w:szCs w:val="24"/>
        </w:rPr>
      </w:pPr>
      <w:r>
        <w:rPr>
          <w:rFonts w:hint="eastAsia" w:ascii="仿宋" w:hAnsi="仿宋" w:eastAsia="仿宋" w:cs="仿宋"/>
          <w:color w:val="auto"/>
          <w:sz w:val="24"/>
          <w:szCs w:val="24"/>
        </w:rPr>
        <w:t>（四）被授予校级以上（含校级）其他荣誉称号者、受各级组织通报表扬者以及本办法未能涵盖的发展性素质加分项，经学生处认定，参照以上加分标准确定加分值。（国家、市、校加分分别为3、2、1，受各级组织通报表扬加1分，同类不累计）</w:t>
      </w:r>
    </w:p>
    <w:p>
      <w:pPr>
        <w:kinsoku/>
        <w:adjustRightInd/>
        <w:spacing w:line="400" w:lineRule="exact"/>
        <w:ind w:firstLine="2736"/>
        <w:jc w:val="both"/>
        <w:rPr>
          <w:rFonts w:ascii="仿宋" w:hAnsi="仿宋" w:eastAsia="仿宋" w:cs="仿宋"/>
          <w:color w:val="auto"/>
          <w:sz w:val="24"/>
          <w:szCs w:val="24"/>
        </w:rPr>
      </w:pPr>
    </w:p>
    <w:p>
      <w:pPr>
        <w:numPr>
          <w:ilvl w:val="0"/>
          <w:numId w:val="1"/>
        </w:numPr>
        <w:kinsoku/>
        <w:adjustRightInd/>
        <w:spacing w:line="400" w:lineRule="exact"/>
        <w:ind w:firstLine="2616"/>
        <w:jc w:val="center"/>
        <w:rPr>
          <w:rFonts w:ascii="仿宋" w:hAnsi="仿宋" w:eastAsia="仿宋" w:cs="仿宋"/>
          <w:b/>
          <w:bCs/>
          <w:color w:val="auto"/>
          <w:sz w:val="24"/>
          <w:szCs w:val="24"/>
        </w:rPr>
      </w:pPr>
      <w:r>
        <w:rPr>
          <w:rFonts w:hint="eastAsia" w:ascii="仿宋" w:hAnsi="仿宋" w:eastAsia="仿宋" w:cs="仿宋"/>
          <w:b/>
          <w:bCs/>
          <w:color w:val="auto"/>
          <w:sz w:val="24"/>
          <w:szCs w:val="24"/>
        </w:rPr>
        <w:t>测评结果及其应用</w:t>
      </w:r>
    </w:p>
    <w:p>
      <w:pPr>
        <w:kinsoku/>
        <w:adjustRightInd/>
        <w:spacing w:line="400" w:lineRule="exact"/>
        <w:ind w:left="2616"/>
        <w:jc w:val="both"/>
        <w:rPr>
          <w:rFonts w:ascii="仿宋" w:hAnsi="仿宋" w:eastAsia="仿宋" w:cs="仿宋"/>
          <w:color w:val="auto"/>
          <w:sz w:val="24"/>
          <w:szCs w:val="24"/>
        </w:rPr>
      </w:pPr>
    </w:p>
    <w:p>
      <w:pPr>
        <w:kinsoku/>
        <w:adjustRightInd/>
        <w:spacing w:line="400" w:lineRule="exact"/>
        <w:ind w:left="23" w:right="133" w:firstLine="486"/>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第二十一条</w:t>
      </w:r>
      <w:r>
        <w:rPr>
          <w:rFonts w:hint="default"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 </w:t>
      </w:r>
      <w:r>
        <w:rPr>
          <w:rFonts w:hint="eastAsia" w:ascii="仿宋" w:hAnsi="仿宋" w:eastAsia="仿宋" w:cs="仿宋"/>
          <w:color w:val="auto"/>
          <w:sz w:val="24"/>
          <w:szCs w:val="24"/>
        </w:rPr>
        <w:t>测评结果体现学生综合素质的相对水平，作为下列各项工作的依据：</w:t>
      </w:r>
    </w:p>
    <w:p>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（一）评定各类奖学金的基本依据；</w:t>
      </w:r>
    </w:p>
    <w:p>
      <w:pPr>
        <w:kinsoku/>
        <w:adjustRightInd/>
        <w:spacing w:line="400" w:lineRule="exact"/>
        <w:ind w:left="24" w:right="134" w:firstLine="441"/>
        <w:jc w:val="both"/>
        <w:rPr>
          <w:rFonts w:ascii="仿宋" w:hAnsi="仿宋" w:eastAsia="仿宋" w:cs="仿宋"/>
          <w:color w:val="auto"/>
          <w:sz w:val="24"/>
          <w:szCs w:val="24"/>
        </w:rPr>
      </w:pPr>
      <w:r>
        <w:rPr>
          <w:rFonts w:hint="eastAsia" w:ascii="仿宋" w:hAnsi="仿宋" w:eastAsia="仿宋" w:cs="仿宋"/>
          <w:color w:val="auto"/>
          <w:sz w:val="24"/>
          <w:szCs w:val="24"/>
        </w:rPr>
        <w:t>（二）评选优秀学生干部、三好学生、优秀毕业生等先进个人荣誉称号的基本依据；</w:t>
      </w:r>
    </w:p>
    <w:p>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（三）评选先进班集体等先进集体荣誉称号的基本依据之一；</w:t>
      </w:r>
    </w:p>
    <w:p>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（四）审批困难补助、减免学费申请等学生资助项目的考查依据之一；</w:t>
      </w:r>
    </w:p>
    <w:p>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（五）毕业生就业推荐、与学生家长沟通等工作的基本依据之一；</w:t>
      </w:r>
    </w:p>
    <w:p>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（六）推荐免试研究生的参考依据。</w:t>
      </w:r>
    </w:p>
    <w:p>
      <w:pPr>
        <w:kinsoku/>
        <w:adjustRightInd/>
        <w:spacing w:line="400" w:lineRule="exact"/>
        <w:ind w:left="28" w:right="27" w:firstLine="481"/>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第二十二条</w:t>
      </w:r>
      <w:r>
        <w:rPr>
          <w:rFonts w:hint="default"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 </w:t>
      </w:r>
      <w:r>
        <w:rPr>
          <w:rFonts w:hint="eastAsia" w:ascii="仿宋" w:hAnsi="仿宋" w:eastAsia="仿宋" w:cs="仿宋"/>
          <w:color w:val="auto"/>
          <w:sz w:val="24"/>
          <w:szCs w:val="24"/>
        </w:rPr>
        <w:t>在评奖评优中，考虑到基础性素质和发展性素质的双重作用，评奖原则为：根据奖学金比例，按基础性素质测评成绩排序确定获奖资格人选，按发展性素质排序确定最终奖项分配。</w:t>
      </w:r>
    </w:p>
    <w:p>
      <w:pPr>
        <w:kinsoku/>
        <w:adjustRightInd/>
        <w:spacing w:line="400" w:lineRule="exact"/>
        <w:ind w:left="33" w:right="136" w:firstLine="476"/>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第二十三条</w:t>
      </w:r>
      <w:r>
        <w:rPr>
          <w:rFonts w:hint="default"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 </w:t>
      </w:r>
      <w:r>
        <w:rPr>
          <w:rFonts w:hint="eastAsia" w:ascii="仿宋" w:hAnsi="仿宋" w:eastAsia="仿宋" w:cs="仿宋"/>
          <w:color w:val="auto"/>
          <w:sz w:val="24"/>
          <w:szCs w:val="24"/>
        </w:rPr>
        <w:t>在综合测评中弄虚作假、虚报成果的，经核实后扣除所获得的评分，并可视为基本素质测评不合格。</w:t>
      </w:r>
    </w:p>
    <w:p>
      <w:pPr>
        <w:kinsoku/>
        <w:adjustRightInd/>
        <w:spacing w:line="400" w:lineRule="exact"/>
        <w:ind w:firstLine="3216"/>
        <w:jc w:val="center"/>
        <w:rPr>
          <w:rFonts w:ascii="仿宋" w:hAnsi="仿宋" w:eastAsia="仿宋" w:cs="仿宋"/>
          <w:color w:val="auto"/>
          <w:sz w:val="24"/>
          <w:szCs w:val="24"/>
        </w:rPr>
      </w:pPr>
    </w:p>
    <w:p>
      <w:pPr>
        <w:numPr>
          <w:ilvl w:val="0"/>
          <w:numId w:val="1"/>
        </w:numPr>
        <w:kinsoku/>
        <w:adjustRightInd/>
        <w:spacing w:line="400" w:lineRule="exact"/>
        <w:ind w:firstLine="2616"/>
        <w:jc w:val="center"/>
        <w:rPr>
          <w:rFonts w:ascii="仿宋" w:hAnsi="仿宋" w:eastAsia="仿宋" w:cs="仿宋"/>
          <w:b/>
          <w:bCs/>
          <w:color w:val="auto"/>
          <w:sz w:val="24"/>
          <w:szCs w:val="24"/>
        </w:rPr>
      </w:pPr>
      <w:r>
        <w:rPr>
          <w:rFonts w:hint="eastAsia" w:ascii="仿宋" w:hAnsi="仿宋" w:eastAsia="仿宋" w:cs="仿宋"/>
          <w:b/>
          <w:bCs/>
          <w:color w:val="auto"/>
          <w:sz w:val="24"/>
          <w:szCs w:val="24"/>
        </w:rPr>
        <w:t>组织实施</w:t>
      </w:r>
    </w:p>
    <w:p>
      <w:pPr>
        <w:kinsoku/>
        <w:adjustRightInd/>
        <w:spacing w:line="400" w:lineRule="exact"/>
        <w:ind w:left="2616"/>
        <w:jc w:val="both"/>
        <w:rPr>
          <w:rFonts w:ascii="仿宋" w:hAnsi="仿宋" w:eastAsia="仿宋" w:cs="仿宋"/>
          <w:color w:val="auto"/>
          <w:sz w:val="24"/>
          <w:szCs w:val="24"/>
        </w:rPr>
      </w:pPr>
    </w:p>
    <w:p>
      <w:pPr>
        <w:kinsoku/>
        <w:adjustRightInd/>
        <w:spacing w:line="400" w:lineRule="exact"/>
        <w:ind w:left="33" w:right="44" w:firstLine="476"/>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第二十四条</w:t>
      </w:r>
      <w:r>
        <w:rPr>
          <w:rFonts w:hint="default"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 </w:t>
      </w:r>
      <w:r>
        <w:rPr>
          <w:rFonts w:hint="eastAsia" w:ascii="仿宋" w:hAnsi="仿宋" w:eastAsia="仿宋" w:cs="仿宋"/>
          <w:color w:val="auto"/>
          <w:sz w:val="24"/>
          <w:szCs w:val="24"/>
        </w:rPr>
        <w:t>学院成立以分管学生工作的党总支副书记为组长的学生综合测评工作领导小组，由辅导员、班主任、班导生、班级主要学生干部具体实施测评。</w:t>
      </w:r>
    </w:p>
    <w:p>
      <w:pPr>
        <w:kinsoku/>
        <w:adjustRightInd/>
        <w:spacing w:line="400" w:lineRule="exact"/>
        <w:ind w:left="26" w:right="133" w:firstLine="483"/>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第二十五条</w:t>
      </w:r>
      <w:r>
        <w:rPr>
          <w:rFonts w:hint="default"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 </w:t>
      </w:r>
      <w:r>
        <w:rPr>
          <w:rFonts w:hint="eastAsia" w:ascii="仿宋" w:hAnsi="仿宋" w:eastAsia="仿宋" w:cs="仿宋"/>
          <w:color w:val="auto"/>
          <w:sz w:val="24"/>
          <w:szCs w:val="24"/>
        </w:rPr>
        <w:t>测评结果经学院审核后，在本测评单位内公布。若有异议，应在一周内由学院核查后作出裁决。</w:t>
      </w:r>
    </w:p>
    <w:p>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第二十六条</w:t>
      </w:r>
      <w:r>
        <w:rPr>
          <w:rFonts w:hint="default"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 </w:t>
      </w:r>
      <w:r>
        <w:rPr>
          <w:rFonts w:hint="eastAsia" w:ascii="仿宋" w:hAnsi="仿宋" w:eastAsia="仿宋" w:cs="仿宋"/>
          <w:color w:val="auto"/>
          <w:sz w:val="24"/>
          <w:szCs w:val="24"/>
        </w:rPr>
        <w:t>测评结果经公示无异议后，报学生处备案。</w:t>
      </w:r>
    </w:p>
    <w:p>
      <w:pPr>
        <w:kinsoku/>
        <w:adjustRightInd/>
        <w:spacing w:line="400" w:lineRule="exact"/>
        <w:ind w:firstLine="3396"/>
        <w:jc w:val="both"/>
        <w:rPr>
          <w:rFonts w:ascii="仿宋" w:hAnsi="仿宋" w:eastAsia="仿宋" w:cs="仿宋"/>
          <w:color w:val="auto"/>
          <w:sz w:val="24"/>
          <w:szCs w:val="24"/>
        </w:rPr>
      </w:pPr>
    </w:p>
    <w:p>
      <w:pPr>
        <w:kinsoku/>
        <w:adjustRightInd/>
        <w:spacing w:line="400" w:lineRule="exact"/>
        <w:ind w:firstLine="3396"/>
        <w:jc w:val="both"/>
        <w:rPr>
          <w:rFonts w:ascii="仿宋" w:hAnsi="仿宋" w:eastAsia="仿宋" w:cs="仿宋"/>
          <w:b/>
          <w:bCs/>
          <w:color w:val="auto"/>
          <w:sz w:val="24"/>
          <w:szCs w:val="24"/>
        </w:rPr>
      </w:pPr>
      <w:r>
        <w:rPr>
          <w:rFonts w:hint="eastAsia" w:ascii="仿宋" w:hAnsi="仿宋" w:eastAsia="仿宋" w:cs="仿宋"/>
          <w:b/>
          <w:bCs/>
          <w:color w:val="auto"/>
          <w:sz w:val="24"/>
          <w:szCs w:val="24"/>
        </w:rPr>
        <w:t>第五章 附则</w:t>
      </w:r>
    </w:p>
    <w:p>
      <w:pPr>
        <w:kinsoku/>
        <w:adjustRightInd/>
        <w:spacing w:line="400" w:lineRule="exact"/>
        <w:ind w:firstLine="3396"/>
        <w:jc w:val="both"/>
        <w:rPr>
          <w:rFonts w:ascii="仿宋" w:hAnsi="仿宋" w:eastAsia="仿宋" w:cs="仿宋"/>
          <w:b/>
          <w:bCs/>
          <w:color w:val="auto"/>
          <w:sz w:val="24"/>
          <w:szCs w:val="24"/>
        </w:rPr>
      </w:pPr>
    </w:p>
    <w:p>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第二十七条</w:t>
      </w:r>
      <w:r>
        <w:rPr>
          <w:rFonts w:hint="eastAsia" w:ascii="仿宋" w:hAnsi="仿宋" w:eastAsia="仿宋" w:cs="仿宋"/>
          <w:color w:val="auto"/>
          <w:sz w:val="24"/>
          <w:szCs w:val="24"/>
        </w:rPr>
        <w:t>本办法从发布之日起执行。</w:t>
      </w:r>
    </w:p>
    <w:p>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第二十八条</w:t>
      </w:r>
      <w:r>
        <w:rPr>
          <w:rFonts w:hint="eastAsia" w:ascii="仿宋" w:hAnsi="仿宋" w:eastAsia="仿宋" w:cs="仿宋"/>
          <w:color w:val="auto"/>
          <w:sz w:val="24"/>
          <w:szCs w:val="24"/>
        </w:rPr>
        <w:t>本办法由工商管理学院负责解释。</w:t>
      </w:r>
    </w:p>
    <w:sectPr>
      <w:pgSz w:w="11907" w:h="16839"/>
      <w:pgMar w:top="1440" w:right="1080" w:bottom="1440" w:left="1080"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A9D0C"/>
    <w:multiLevelType w:val="singleLevel"/>
    <w:tmpl w:val="61BA9D0C"/>
    <w:lvl w:ilvl="0" w:tentative="0">
      <w:start w:val="2"/>
      <w:numFmt w:val="chineseCounting"/>
      <w:suff w:val="nothing"/>
      <w:lvlText w:val="(%1)"/>
      <w:lvlJc w:val="left"/>
    </w:lvl>
  </w:abstractNum>
  <w:abstractNum w:abstractNumId="1">
    <w:nsid w:val="7FBDD6F5"/>
    <w:multiLevelType w:val="singleLevel"/>
    <w:tmpl w:val="7FBDD6F5"/>
    <w:lvl w:ilvl="0" w:tentative="0">
      <w:start w:val="2"/>
      <w:numFmt w:val="chineseCounting"/>
      <w:suff w:val="space"/>
      <w:lvlText w:val="第%1章"/>
      <w:lvlJc w:val="left"/>
      <w:pPr>
        <w:ind w:left="-2616"/>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3551EB"/>
    <w:rsid w:val="00004272"/>
    <w:rsid w:val="00300D39"/>
    <w:rsid w:val="00354A6E"/>
    <w:rsid w:val="003551EB"/>
    <w:rsid w:val="00442749"/>
    <w:rsid w:val="004D4EAB"/>
    <w:rsid w:val="006E5CEF"/>
    <w:rsid w:val="008B5CD5"/>
    <w:rsid w:val="008F557A"/>
    <w:rsid w:val="00AF47AD"/>
    <w:rsid w:val="00BC1634"/>
    <w:rsid w:val="00D219CD"/>
    <w:rsid w:val="00E0028A"/>
    <w:rsid w:val="00E55C78"/>
    <w:rsid w:val="3F0B28EE"/>
    <w:rsid w:val="58413845"/>
    <w:rsid w:val="5D6F2B91"/>
    <w:rsid w:val="8636F90C"/>
    <w:rsid w:val="C85D94A4"/>
    <w:rsid w:val="D7EF6DF7"/>
    <w:rsid w:val="DFF7AFF8"/>
    <w:rsid w:val="E9EDFBAB"/>
    <w:rsid w:val="EAFF76F7"/>
    <w:rsid w:val="F6A3287F"/>
    <w:rsid w:val="FF7796E6"/>
    <w:rsid w:val="FFDE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4247</Words>
  <Characters>4355</Characters>
  <Lines>33</Lines>
  <Paragraphs>9</Paragraphs>
  <TotalTime>13</TotalTime>
  <ScaleCrop>false</ScaleCrop>
  <LinksUpToDate>false</LinksUpToDate>
  <CharactersWithSpaces>4369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2016-01-11T09:03:00Z</dcterms:created>
  <dc:creator>SHIJIA</dc:creator>
  <cp:lastModifiedBy>Why Not?</cp:lastModifiedBy>
  <dcterms:modified xsi:type="dcterms:W3CDTF">2022-04-18T04:47:11Z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2021-11-30T00:54:35Z</vt:filetime>
  </property>
  <property fmtid="{D5CDD505-2E9C-101B-9397-08002B2CF9AE}" pid="4" name="KSOProductBuildVer">
    <vt:lpwstr>2052-11.1.0.11636</vt:lpwstr>
  </property>
  <property fmtid="{D5CDD505-2E9C-101B-9397-08002B2CF9AE}" pid="5" name="ICV">
    <vt:lpwstr>D3D1B812DFE24760AD79610A5B3C9C65</vt:lpwstr>
  </property>
</Properties>
</file>